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78" w:line="353" w:lineRule="auto"/>
        <w:ind w:left="3884" w:right="3866"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FIŞA DISCIPLINEI</w:t>
      </w:r>
      <w:r w:rsidDel="00000000" w:rsidR="00000000" w:rsidRPr="00000000">
        <w:rPr>
          <w:rFonts w:ascii="Times New Roman" w:cs="Times New Roman" w:eastAsia="Times New Roman" w:hAnsi="Times New Roman"/>
          <w:b w:val="1"/>
          <w:sz w:val="36.66666666666667"/>
          <w:szCs w:val="36.66666666666667"/>
          <w:vertAlign w:val="superscript"/>
          <w:rtl w:val="0"/>
        </w:rPr>
        <w:t xml:space="preserve">1</w:t>
      </w:r>
      <w:r w:rsidDel="00000000" w:rsidR="00000000" w:rsidRPr="00000000">
        <w:rPr>
          <w:rtl w:val="0"/>
        </w:rPr>
      </w:r>
    </w:p>
    <w:p w:rsidR="00000000" w:rsidDel="00000000" w:rsidP="00000000" w:rsidRDefault="00000000" w:rsidRPr="00000000" w14:paraId="00000002">
      <w:pPr>
        <w:spacing w:after="0" w:before="7" w:lin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numPr>
          <w:ilvl w:val="0"/>
          <w:numId w:val="4"/>
        </w:numPr>
        <w:spacing w:after="0" w:before="29" w:line="271" w:lineRule="auto"/>
        <w:ind w:left="573" w:right="-20" w:hanging="360"/>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Date despre program</w:t>
      </w:r>
    </w:p>
    <w:p w:rsidR="00000000" w:rsidDel="00000000" w:rsidP="00000000" w:rsidRDefault="00000000" w:rsidRPr="00000000" w14:paraId="00000005">
      <w:pPr>
        <w:spacing w:after="0" w:before="29" w:line="271" w:lineRule="auto"/>
        <w:ind w:left="213" w:right="-20" w:firstLine="0"/>
        <w:rPr>
          <w:rFonts w:ascii="Times New Roman" w:cs="Times New Roman" w:eastAsia="Times New Roman" w:hAnsi="Times New Roman"/>
        </w:rPr>
      </w:pPr>
      <w:r w:rsidDel="00000000" w:rsidR="00000000" w:rsidRPr="00000000">
        <w:rPr>
          <w:rtl w:val="0"/>
        </w:rPr>
      </w:r>
    </w:p>
    <w:tbl>
      <w:tblPr>
        <w:tblStyle w:val="Table1"/>
        <w:tblW w:w="10190.0" w:type="dxa"/>
        <w:jc w:val="left"/>
        <w:tblInd w:w="5.0" w:type="dxa"/>
        <w:tblLayout w:type="fixed"/>
        <w:tblLook w:val="0000"/>
      </w:tblPr>
      <w:tblGrid>
        <w:gridCol w:w="3795"/>
        <w:gridCol w:w="6395"/>
        <w:tblGridChange w:id="0">
          <w:tblGrid>
            <w:gridCol w:w="3795"/>
            <w:gridCol w:w="6395"/>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Instituţia de învăţământ superior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Universitatea Creștină Partium</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Facultatea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Facultatea de Ştiinţe Economice si Sociale</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Departamentul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Departamentul de Economie</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Domeniul de studii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Administrarea Afacerilor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69"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Ciclul de studii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Licență</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Programul de studii/Calificarea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Economia comerţului, turismului şi serviciilor</w:t>
            </w:r>
          </w:p>
        </w:tc>
      </w:tr>
    </w:tbl>
    <w:p w:rsidR="00000000" w:rsidDel="00000000" w:rsidP="00000000" w:rsidRDefault="00000000" w:rsidRPr="00000000" w14:paraId="00000012">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4"/>
        </w:numPr>
        <w:spacing w:after="0" w:before="29" w:line="271" w:lineRule="auto"/>
        <w:ind w:left="573" w:right="-20" w:hanging="360"/>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Date despre disciplină</w:t>
      </w:r>
    </w:p>
    <w:p w:rsidR="00000000" w:rsidDel="00000000" w:rsidP="00000000" w:rsidRDefault="00000000" w:rsidRPr="00000000" w14:paraId="00000014">
      <w:pPr>
        <w:spacing w:after="0" w:before="29" w:line="271" w:lineRule="auto"/>
        <w:ind w:left="213" w:right="-20" w:firstLine="0"/>
        <w:rPr>
          <w:rFonts w:ascii="Times New Roman" w:cs="Times New Roman" w:eastAsia="Times New Roman" w:hAnsi="Times New Roman"/>
        </w:rPr>
      </w:pPr>
      <w:r w:rsidDel="00000000" w:rsidR="00000000" w:rsidRPr="00000000">
        <w:rPr>
          <w:rtl w:val="0"/>
        </w:rPr>
      </w:r>
    </w:p>
    <w:tbl>
      <w:tblPr>
        <w:tblStyle w:val="Table2"/>
        <w:tblW w:w="10190.0" w:type="dxa"/>
        <w:jc w:val="left"/>
        <w:tblInd w:w="5.0" w:type="dxa"/>
        <w:tblLayout w:type="fixed"/>
        <w:tblLook w:val="0000"/>
      </w:tblPr>
      <w:tblGrid>
        <w:gridCol w:w="3229"/>
        <w:gridCol w:w="6961"/>
        <w:tblGridChange w:id="0">
          <w:tblGrid>
            <w:gridCol w:w="3229"/>
            <w:gridCol w:w="6961"/>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Denumirea disciplinei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Fiscalitate, ECTS3208</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Titularul activităţii de curs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 Univ. Dr. Szász Erzsébet</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Titularul activităţii de</w:t>
            </w:r>
          </w:p>
          <w:p w:rsidR="00000000" w:rsidDel="00000000" w:rsidP="00000000" w:rsidRDefault="00000000" w:rsidRPr="00000000" w14:paraId="0000001A">
            <w:pPr>
              <w:spacing w:after="0" w:line="240"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 Univ. Dr. Szász Erzsébet</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Anul de studiu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69"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Semestrul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69"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Tipul de evaluare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Colocviu</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Regimul disciplinei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OPȚIONAL, DD</w:t>
            </w:r>
          </w:p>
          <w:p w:rsidR="00000000" w:rsidDel="00000000" w:rsidP="00000000" w:rsidRDefault="00000000" w:rsidRPr="00000000" w14:paraId="00000024">
            <w:pPr>
              <w:spacing w:after="0" w:line="267" w:lineRule="auto"/>
              <w:ind w:left="102" w:right="-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5">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4"/>
        </w:numPr>
        <w:spacing w:after="0" w:before="29" w:line="271" w:lineRule="auto"/>
        <w:ind w:left="573" w:right="-20" w:hanging="360"/>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Timpul total estimat</w:t>
      </w:r>
    </w:p>
    <w:p w:rsidR="00000000" w:rsidDel="00000000" w:rsidP="00000000" w:rsidRDefault="00000000" w:rsidRPr="00000000" w14:paraId="00000027">
      <w:pPr>
        <w:spacing w:after="0" w:before="29" w:line="271" w:lineRule="auto"/>
        <w:ind w:left="213" w:right="-20" w:firstLine="0"/>
        <w:rPr>
          <w:rFonts w:ascii="Times New Roman" w:cs="Times New Roman" w:eastAsia="Times New Roman" w:hAnsi="Times New Roman"/>
        </w:rPr>
      </w:pPr>
      <w:r w:rsidDel="00000000" w:rsidR="00000000" w:rsidRPr="00000000">
        <w:rPr>
          <w:rtl w:val="0"/>
        </w:rPr>
      </w:r>
    </w:p>
    <w:tbl>
      <w:tblPr>
        <w:tblStyle w:val="Table3"/>
        <w:tblW w:w="10190.0" w:type="dxa"/>
        <w:jc w:val="left"/>
        <w:tblInd w:w="5.0" w:type="dxa"/>
        <w:tblLayout w:type="fixed"/>
        <w:tblLook w:val="0000"/>
      </w:tblPr>
      <w:tblGrid>
        <w:gridCol w:w="3935"/>
        <w:gridCol w:w="708"/>
        <w:gridCol w:w="1844"/>
        <w:gridCol w:w="710"/>
        <w:gridCol w:w="2273"/>
        <w:gridCol w:w="720"/>
        <w:tblGridChange w:id="0">
          <w:tblGrid>
            <w:gridCol w:w="3935"/>
            <w:gridCol w:w="708"/>
            <w:gridCol w:w="1844"/>
            <w:gridCol w:w="710"/>
            <w:gridCol w:w="2273"/>
            <w:gridCol w:w="720"/>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Număr de ore pe săptămână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 care3.2curs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seminar/laborator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Total ore din planul de învăţământ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 care3.5curs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seminar/laborator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r>
      <w:tr>
        <w:trPr>
          <w:cantSplit w:val="0"/>
          <w:trHeight w:val="288"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69"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Distribuţia fondului de timp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69"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w:t>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Studiul după manual, suport de curs, bibliografie şi notiţe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67" w:lineRule="auto"/>
              <w:ind w:left="105"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Documentare suplimentară în bibliotecă, pe platforme electronice de specialitate şi pe teren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67" w:lineRule="auto"/>
              <w:ind w:left="105"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Pregătire seminarii/laboratoare, teme, referate, portofolii şi eseuri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67" w:lineRule="auto"/>
              <w:ind w:left="105"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p w:rsidR="00000000" w:rsidDel="00000000" w:rsidP="00000000" w:rsidRDefault="00000000" w:rsidRPr="00000000" w14:paraId="0000004C">
            <w:pPr>
              <w:spacing w:after="0" w:line="267" w:lineRule="auto"/>
              <w:ind w:left="105"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line="267" w:lineRule="auto"/>
              <w:ind w:left="105" w:right="-20" w:firstLine="0"/>
              <w:jc w:val="center"/>
              <w:rPr>
                <w:rFonts w:ascii="Times New Roman" w:cs="Times New Roman" w:eastAsia="Times New Roman" w:hAnsi="Times New Roman"/>
              </w:rPr>
            </w:pPr>
            <w:r w:rsidDel="00000000" w:rsidR="00000000" w:rsidRPr="00000000">
              <w:rPr>
                <w:rtl w:val="0"/>
              </w:rPr>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Tutoriat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67" w:lineRule="auto"/>
              <w:ind w:left="105"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Examinări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67" w:lineRule="auto"/>
              <w:ind w:left="105"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288"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69"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 activităţi…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72"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3.7 Total ore studiu individual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72" w:lineRule="auto"/>
              <w:ind w:left="105" w:righ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58</w:t>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72"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3.8 Total ore pe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72" w:lineRule="auto"/>
              <w:ind w:left="105" w:righ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w:t>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72"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3.9 Numărul de credite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72" w:lineRule="auto"/>
              <w:ind w:left="105" w:righ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r>
    </w:tbl>
    <w:p w:rsidR="00000000" w:rsidDel="00000000" w:rsidP="00000000" w:rsidRDefault="00000000" w:rsidRPr="00000000" w14:paraId="00000072">
      <w:pPr>
        <w:spacing w:after="0" w:before="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4"/>
        </w:numPr>
        <w:spacing w:after="0" w:before="29" w:line="271" w:lineRule="auto"/>
        <w:ind w:left="573" w:right="-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Precondiţii </w:t>
      </w:r>
      <w:r w:rsidDel="00000000" w:rsidR="00000000" w:rsidRPr="00000000">
        <w:rPr>
          <w:rFonts w:ascii="Times New Roman" w:cs="Times New Roman" w:eastAsia="Times New Roman" w:hAnsi="Times New Roman"/>
          <w:vertAlign w:val="baseline"/>
          <w:rtl w:val="0"/>
        </w:rPr>
        <w:t xml:space="preserve">(acolo unde este cazul)</w:t>
      </w:r>
    </w:p>
    <w:p w:rsidR="00000000" w:rsidDel="00000000" w:rsidP="00000000" w:rsidRDefault="00000000" w:rsidRPr="00000000" w14:paraId="00000074">
      <w:pPr>
        <w:spacing w:after="0" w:before="29" w:line="271" w:lineRule="auto"/>
        <w:ind w:left="213" w:right="-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5">
      <w:pPr>
        <w:spacing w:after="0" w:before="2" w:line="14.399999999999999" w:lineRule="auto"/>
        <w:rPr>
          <w:rFonts w:ascii="Times New Roman" w:cs="Times New Roman" w:eastAsia="Times New Roman" w:hAnsi="Times New Roman"/>
        </w:rPr>
      </w:pPr>
      <w:r w:rsidDel="00000000" w:rsidR="00000000" w:rsidRPr="00000000">
        <w:rPr>
          <w:rtl w:val="0"/>
        </w:rPr>
      </w:r>
    </w:p>
    <w:tbl>
      <w:tblPr>
        <w:tblStyle w:val="Table4"/>
        <w:tblW w:w="10190.0" w:type="dxa"/>
        <w:jc w:val="left"/>
        <w:tblInd w:w="5.0" w:type="dxa"/>
        <w:tblLayout w:type="fixed"/>
        <w:tblLook w:val="0000"/>
      </w:tblPr>
      <w:tblGrid>
        <w:gridCol w:w="2093"/>
        <w:gridCol w:w="8097"/>
        <w:tblGridChange w:id="0">
          <w:tblGrid>
            <w:gridCol w:w="2093"/>
            <w:gridCol w:w="8097"/>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de curriculum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Finanțe publice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de competenţe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A">
      <w:pPr>
        <w:spacing w:after="0" w:before="18" w:line="2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numPr>
          <w:ilvl w:val="0"/>
          <w:numId w:val="4"/>
        </w:numPr>
        <w:spacing w:after="0" w:before="29" w:line="271" w:lineRule="auto"/>
        <w:ind w:left="573" w:right="-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Condiţii </w:t>
      </w:r>
      <w:r w:rsidDel="00000000" w:rsidR="00000000" w:rsidRPr="00000000">
        <w:rPr>
          <w:rFonts w:ascii="Times New Roman" w:cs="Times New Roman" w:eastAsia="Times New Roman" w:hAnsi="Times New Roman"/>
          <w:vertAlign w:val="baseline"/>
          <w:rtl w:val="0"/>
        </w:rPr>
        <w:t xml:space="preserve">(acolo unde este cazul)</w:t>
      </w:r>
    </w:p>
    <w:p w:rsidR="00000000" w:rsidDel="00000000" w:rsidP="00000000" w:rsidRDefault="00000000" w:rsidRPr="00000000" w14:paraId="0000007C">
      <w:pPr>
        <w:spacing w:after="0" w:before="29" w:line="271" w:lineRule="auto"/>
        <w:ind w:left="213" w:right="-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D">
      <w:pPr>
        <w:spacing w:after="0" w:before="2" w:line="14.399999999999999" w:lineRule="auto"/>
        <w:rPr>
          <w:rFonts w:ascii="Times New Roman" w:cs="Times New Roman" w:eastAsia="Times New Roman" w:hAnsi="Times New Roman"/>
        </w:rPr>
      </w:pPr>
      <w:r w:rsidDel="00000000" w:rsidR="00000000" w:rsidRPr="00000000">
        <w:rPr>
          <w:rtl w:val="0"/>
        </w:rPr>
      </w:r>
    </w:p>
    <w:tbl>
      <w:tblPr>
        <w:tblStyle w:val="Table5"/>
        <w:tblW w:w="10190.0" w:type="dxa"/>
        <w:jc w:val="left"/>
        <w:tblInd w:w="5.0" w:type="dxa"/>
        <w:tblLayout w:type="fixed"/>
        <w:tblLook w:val="0000"/>
      </w:tblPr>
      <w:tblGrid>
        <w:gridCol w:w="4928"/>
        <w:gridCol w:w="5262"/>
        <w:tblGridChange w:id="0">
          <w:tblGrid>
            <w:gridCol w:w="4928"/>
            <w:gridCol w:w="5262"/>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de desfăşurare a cursului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săli dotate  cu tehnică IT</w:t>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de desfăşurare a seminarului/laboratorului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40"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săli dotate  cu tehnică IT</w:t>
            </w:r>
          </w:p>
        </w:tc>
      </w:tr>
    </w:tbl>
    <w:p w:rsidR="00000000" w:rsidDel="00000000" w:rsidP="00000000" w:rsidRDefault="00000000" w:rsidRPr="00000000" w14:paraId="00000082">
      <w:pPr>
        <w:spacing w:after="0" w:before="12" w:lin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0" w:before="44" w:line="240" w:lineRule="auto"/>
        <w:ind w:left="213" w:right="-20" w:firstLine="0"/>
        <w:rPr>
          <w:rFonts w:ascii="Times New Roman" w:cs="Times New Roman" w:eastAsia="Times New Roman" w:hAnsi="Times New Roman"/>
        </w:rPr>
        <w:sectPr>
          <w:pgSz w:h="15840" w:w="12240" w:orient="portrait"/>
          <w:pgMar w:bottom="280" w:top="1340" w:left="920" w:right="920" w:header="720" w:footer="720"/>
          <w:pgNumType w:start="1"/>
        </w:sectPr>
      </w:pPr>
      <w:r w:rsidDel="00000000" w:rsidR="00000000" w:rsidRPr="00000000">
        <w:rPr>
          <w:rFonts w:ascii="Times New Roman" w:cs="Times New Roman" w:eastAsia="Times New Roman" w:hAnsi="Times New Roman"/>
          <w:sz w:val="36.66666666666667"/>
          <w:szCs w:val="36.66666666666667"/>
          <w:vertAlign w:val="superscript"/>
          <w:rtl w:val="0"/>
        </w:rPr>
        <w:t xml:space="preserve">1</w:t>
      </w:r>
      <w:r w:rsidDel="00000000" w:rsidR="00000000" w:rsidRPr="00000000">
        <w:rPr>
          <w:rFonts w:ascii="Times New Roman" w:cs="Times New Roman" w:eastAsia="Times New Roman" w:hAnsi="Times New Roman"/>
          <w:rtl w:val="0"/>
        </w:rPr>
        <w:t xml:space="preserve">Cf.M.Of.al României, Partea I, Nr.800bis/13.XII.2011,Ordinul ministrului nr.5703 din18 oct.2011</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wp:posOffset>
                </wp:positionH>
                <wp:positionV relativeFrom="paragraph">
                  <wp:posOffset>-25399</wp:posOffset>
                </wp:positionV>
                <wp:extent cx="1828800" cy="1270"/>
                <wp:effectExtent b="0" l="0" r="0" t="0"/>
                <wp:wrapNone/>
                <wp:docPr id="1" name=""/>
                <a:graphic>
                  <a:graphicData uri="http://schemas.microsoft.com/office/word/2010/wordprocessingGroup">
                    <wpg:wgp>
                      <wpg:cNvGrpSpPr/>
                      <wpg:grpSpPr>
                        <a:xfrm>
                          <a:off x="4431600" y="3774600"/>
                          <a:ext cx="1828800" cy="1270"/>
                          <a:chOff x="4431600" y="3774600"/>
                          <a:chExt cx="1828800" cy="9550"/>
                        </a:xfrm>
                      </wpg:grpSpPr>
                      <wpg:grpSp>
                        <wpg:cNvGrpSpPr/>
                        <wpg:grpSpPr>
                          <a:xfrm>
                            <a:off x="4431600" y="3779365"/>
                            <a:ext cx="1828800" cy="1270"/>
                            <a:chOff x="1133" y="-41"/>
                            <a:chExt cx="2880" cy="2"/>
                          </a:xfrm>
                        </wpg:grpSpPr>
                        <wps:wsp>
                          <wps:cNvSpPr/>
                          <wps:cNvPr id="3" name="Shape 3"/>
                          <wps:spPr>
                            <a:xfrm>
                              <a:off x="1133" y="-41"/>
                              <a:ext cx="2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33" y="-41"/>
                              <a:ext cx="2880" cy="2"/>
                            </a:xfrm>
                            <a:custGeom>
                              <a:rect b="b" l="l" r="r" t="t"/>
                              <a:pathLst>
                                <a:path extrusionOk="0" h="2" w="2880">
                                  <a:moveTo>
                                    <a:pt x="0" y="0"/>
                                  </a:moveTo>
                                  <a:lnTo>
                                    <a:pt x="288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127000</wp:posOffset>
                </wp:positionH>
                <wp:positionV relativeFrom="paragraph">
                  <wp:posOffset>-25399</wp:posOffset>
                </wp:positionV>
                <wp:extent cx="1828800" cy="12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28800" cy="1270"/>
                        </a:xfrm>
                        <a:prstGeom prst="rect"/>
                        <a:ln/>
                      </pic:spPr>
                    </pic:pic>
                  </a:graphicData>
                </a:graphic>
              </wp:anchor>
            </w:drawing>
          </mc:Fallback>
        </mc:AlternateContent>
      </w:r>
    </w:p>
    <w:p w:rsidR="00000000" w:rsidDel="00000000" w:rsidP="00000000" w:rsidRDefault="00000000" w:rsidRPr="00000000" w14:paraId="00000084">
      <w:pPr>
        <w:numPr>
          <w:ilvl w:val="0"/>
          <w:numId w:val="4"/>
        </w:numPr>
        <w:spacing w:after="0" w:before="29" w:line="271" w:lineRule="auto"/>
        <w:ind w:left="573" w:right="-20" w:hanging="360"/>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Competenţe specifice acumulate</w:t>
      </w:r>
    </w:p>
    <w:p w:rsidR="00000000" w:rsidDel="00000000" w:rsidP="00000000" w:rsidRDefault="00000000" w:rsidRPr="00000000" w14:paraId="00000085">
      <w:pPr>
        <w:spacing w:after="0" w:before="29" w:line="271" w:lineRule="auto"/>
        <w:ind w:left="213" w:right="-20" w:firstLine="0"/>
        <w:rPr>
          <w:rFonts w:ascii="Times New Roman" w:cs="Times New Roman" w:eastAsia="Times New Roman" w:hAnsi="Times New Roman"/>
        </w:rPr>
      </w:pPr>
      <w:r w:rsidDel="00000000" w:rsidR="00000000" w:rsidRPr="00000000">
        <w:rPr>
          <w:rtl w:val="0"/>
        </w:rPr>
      </w:r>
    </w:p>
    <w:tbl>
      <w:tblPr>
        <w:tblStyle w:val="Table6"/>
        <w:tblW w:w="10190.0" w:type="dxa"/>
        <w:jc w:val="left"/>
        <w:tblInd w:w="5.0" w:type="dxa"/>
        <w:tblLayout w:type="fixed"/>
        <w:tblLook w:val="0000"/>
      </w:tblPr>
      <w:tblGrid>
        <w:gridCol w:w="1527"/>
        <w:gridCol w:w="8663"/>
        <w:tblGridChange w:id="0">
          <w:tblGrid>
            <w:gridCol w:w="1527"/>
            <w:gridCol w:w="8663"/>
          </w:tblGrid>
        </w:tblGridChange>
      </w:tblGrid>
      <w:tr>
        <w:trPr>
          <w:cantSplit w:val="0"/>
          <w:trHeight w:val="1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69"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Competenţe</w:t>
            </w:r>
          </w:p>
          <w:p w:rsidR="00000000" w:rsidDel="00000000" w:rsidP="00000000" w:rsidRDefault="00000000" w:rsidRPr="00000000" w14:paraId="00000087">
            <w:pPr>
              <w:spacing w:after="0" w:line="240"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profesionale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C4.1</w:t>
            </w:r>
            <w:r w:rsidDel="00000000" w:rsidR="00000000" w:rsidRPr="00000000">
              <w:rPr>
                <w:rFonts w:ascii="Times New Roman" w:cs="Times New Roman" w:eastAsia="Times New Roman" w:hAnsi="Times New Roman"/>
                <w:rtl w:val="0"/>
              </w:rPr>
              <w:t xml:space="preserve"> Descrierea conceptelor și principiilor evidenței contabile aplicate în finanțarea activităților de comerț, turism și servicii, precum și a metodologiei și indicatorilor de fundamentare a alocării resurselor.</w:t>
            </w:r>
          </w:p>
          <w:p w:rsidR="00000000" w:rsidDel="00000000" w:rsidP="00000000" w:rsidRDefault="00000000" w:rsidRPr="00000000" w14:paraId="0000008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C4.2</w:t>
            </w:r>
            <w:r w:rsidDel="00000000" w:rsidR="00000000" w:rsidRPr="00000000">
              <w:rPr>
                <w:rFonts w:ascii="Times New Roman" w:cs="Times New Roman" w:eastAsia="Times New Roman" w:hAnsi="Times New Roman"/>
                <w:rtl w:val="0"/>
              </w:rPr>
              <w:t xml:space="preserve"> Explicarea și interpretarea de situații/procese concrete din domeniul comerțului, turismului și serviciilor pe baza conceptelor și principiilor evidenței contabile, și a utilizării indicatorilor pentru explicarea și interpretarea situațiilor analizate.</w:t>
            </w:r>
          </w:p>
          <w:p w:rsidR="00000000" w:rsidDel="00000000" w:rsidP="00000000" w:rsidRDefault="00000000" w:rsidRPr="00000000" w14:paraId="0000008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C4.3</w:t>
            </w:r>
            <w:r w:rsidDel="00000000" w:rsidR="00000000" w:rsidRPr="00000000">
              <w:rPr>
                <w:rFonts w:ascii="Times New Roman" w:cs="Times New Roman" w:eastAsia="Times New Roman" w:hAnsi="Times New Roman"/>
                <w:rtl w:val="0"/>
              </w:rPr>
              <w:t xml:space="preserve"> Elaborarea de calcule pentru diferite situații alternative (variante decizionale) în alocarea resurselor.</w:t>
            </w:r>
          </w:p>
          <w:p w:rsidR="00000000" w:rsidDel="00000000" w:rsidP="00000000" w:rsidRDefault="00000000" w:rsidRPr="00000000" w14:paraId="0000008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C4.4</w:t>
            </w:r>
            <w:r w:rsidDel="00000000" w:rsidR="00000000" w:rsidRPr="00000000">
              <w:rPr>
                <w:rFonts w:ascii="Times New Roman" w:cs="Times New Roman" w:eastAsia="Times New Roman" w:hAnsi="Times New Roman"/>
                <w:rtl w:val="0"/>
              </w:rPr>
              <w:t xml:space="preserve"> Fundamentarea necesarului de resurse materiale și financiare în raport cu cerințele volumului și eficienței organizațiilor de comerț, turism și servicii.</w:t>
            </w:r>
          </w:p>
        </w:tc>
      </w:tr>
      <w:tr>
        <w:trPr>
          <w:cantSplit w:val="0"/>
          <w:trHeight w:val="7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Competenţe</w:t>
            </w:r>
          </w:p>
          <w:p w:rsidR="00000000" w:rsidDel="00000000" w:rsidP="00000000" w:rsidRDefault="00000000" w:rsidRPr="00000000" w14:paraId="0000008D">
            <w:pPr>
              <w:spacing w:after="0" w:line="240"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transversale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1"/>
              <w:spacing w:after="2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CT1</w:t>
            </w:r>
            <w:r w:rsidDel="00000000" w:rsidR="00000000" w:rsidRPr="00000000">
              <w:rPr>
                <w:rFonts w:ascii="Times New Roman" w:cs="Times New Roman" w:eastAsia="Times New Roman" w:hAnsi="Times New Roman"/>
                <w:rtl w:val="0"/>
              </w:rPr>
              <w:t xml:space="preserve"> Aplicarea principiilor, normelor şi valorilor eticii profesionale în cadrul propriei strategii de muncă riguroasă, eficientă şi responsabilă;</w:t>
            </w:r>
          </w:p>
          <w:p w:rsidR="00000000" w:rsidDel="00000000" w:rsidP="00000000" w:rsidRDefault="00000000" w:rsidRPr="00000000" w14:paraId="0000008F">
            <w:pPr>
              <w:spacing w:after="0" w:before="1" w:line="240" w:lineRule="auto"/>
              <w:ind w:left="102" w:right="1438" w:firstLine="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0">
      <w:pPr>
        <w:spacing w:after="0" w:before="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after="0" w:before="29" w:line="271" w:lineRule="auto"/>
        <w:ind w:left="213"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7. Obiectivele disciplinei </w:t>
      </w:r>
      <w:r w:rsidDel="00000000" w:rsidR="00000000" w:rsidRPr="00000000">
        <w:rPr>
          <w:rFonts w:ascii="Times New Roman" w:cs="Times New Roman" w:eastAsia="Times New Roman" w:hAnsi="Times New Roman"/>
          <w:vertAlign w:val="baseline"/>
          <w:rtl w:val="0"/>
        </w:rPr>
        <w:t xml:space="preserve">(reieşind din grila competenţelor specifice accumulate)</w:t>
      </w:r>
      <w:r w:rsidDel="00000000" w:rsidR="00000000" w:rsidRPr="00000000">
        <w:rPr>
          <w:rtl w:val="0"/>
        </w:rPr>
      </w:r>
    </w:p>
    <w:p w:rsidR="00000000" w:rsidDel="00000000" w:rsidP="00000000" w:rsidRDefault="00000000" w:rsidRPr="00000000" w14:paraId="00000092">
      <w:pPr>
        <w:spacing w:after="0" w:before="2" w:line="14.399999999999999" w:lineRule="auto"/>
        <w:rPr>
          <w:rFonts w:ascii="Times New Roman" w:cs="Times New Roman" w:eastAsia="Times New Roman" w:hAnsi="Times New Roman"/>
        </w:rPr>
      </w:pPr>
      <w:r w:rsidDel="00000000" w:rsidR="00000000" w:rsidRPr="00000000">
        <w:rPr>
          <w:rtl w:val="0"/>
        </w:rPr>
      </w:r>
    </w:p>
    <w:tbl>
      <w:tblPr>
        <w:tblStyle w:val="Table7"/>
        <w:tblW w:w="10190.0" w:type="dxa"/>
        <w:jc w:val="left"/>
        <w:tblInd w:w="5.0" w:type="dxa"/>
        <w:tblLayout w:type="fixed"/>
        <w:tblLook w:val="0000"/>
      </w:tblPr>
      <w:tblGrid>
        <w:gridCol w:w="2660"/>
        <w:gridCol w:w="7530"/>
        <w:tblGridChange w:id="0">
          <w:tblGrid>
            <w:gridCol w:w="2660"/>
            <w:gridCol w:w="7530"/>
          </w:tblGrid>
        </w:tblGridChange>
      </w:tblGrid>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Obiectivul general al</w:t>
            </w:r>
          </w:p>
          <w:p w:rsidR="00000000" w:rsidDel="00000000" w:rsidP="00000000" w:rsidRDefault="00000000" w:rsidRPr="00000000" w14:paraId="00000094">
            <w:pPr>
              <w:spacing w:after="0" w:line="240"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Studenții vor dobândi cunoștințe de bază privind stabilirea obligațiilor fiscale  (inregistrare, calcul, plata, declarare etc.) specifice persoanelor juridice și fizice, abilităţi de interpretare a prevederilor legislative fiscale (Codul Fiscal, Codul de procedura fiscală etc) şi de navigare în acest sistem complex</w:t>
            </w:r>
          </w:p>
        </w:tc>
      </w:tr>
      <w:tr>
        <w:trPr>
          <w:cantSplit w:val="0"/>
          <w:trHeight w:val="10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Obiectivele specifice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76" w:lineRule="auto"/>
              <w:ind w:left="105" w:right="1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Studenții vor dobândi abilități de a  calcula impozitul pe profit, impozitul pe venit, contribuțiile sociale, TVA, accize, impozite și taxe locale  precum și abilități de a întocmi declarațiile cu caracter fiscal</w:t>
            </w:r>
          </w:p>
        </w:tc>
      </w:tr>
    </w:tbl>
    <w:p w:rsidR="00000000" w:rsidDel="00000000" w:rsidP="00000000" w:rsidRDefault="00000000" w:rsidRPr="00000000" w14:paraId="00000098">
      <w:pPr>
        <w:spacing w:after="0" w:before="3"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before="29" w:line="240" w:lineRule="auto"/>
        <w:ind w:left="213"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Conţinuturi</w:t>
      </w:r>
      <w:r w:rsidDel="00000000" w:rsidR="00000000" w:rsidRPr="00000000">
        <w:rPr>
          <w:rtl w:val="0"/>
        </w:rPr>
      </w:r>
    </w:p>
    <w:tbl>
      <w:tblPr>
        <w:tblStyle w:val="Table8"/>
        <w:tblW w:w="10190.0" w:type="dxa"/>
        <w:jc w:val="left"/>
        <w:tblInd w:w="5.0" w:type="dxa"/>
        <w:tblLayout w:type="fixed"/>
        <w:tblLook w:val="0000"/>
      </w:tblPr>
      <w:tblGrid>
        <w:gridCol w:w="5353"/>
        <w:gridCol w:w="3121"/>
        <w:gridCol w:w="1716"/>
        <w:tblGridChange w:id="0">
          <w:tblGrid>
            <w:gridCol w:w="5353"/>
            <w:gridCol w:w="3121"/>
            <w:gridCol w:w="1716"/>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72" w:lineRule="auto"/>
              <w:ind w:left="102" w:righ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spacing w:after="0" w:line="272" w:lineRule="auto"/>
              <w:ind w:left="102" w:righ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spacing w:after="0" w:line="272" w:lineRule="auto"/>
              <w:ind w:left="102" w:righ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spacing w:after="0" w:line="272" w:lineRule="auto"/>
              <w:ind w:left="102" w:righ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spacing w:after="0" w:line="272" w:lineRule="auto"/>
              <w:ind w:left="102" w:right="-2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72"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Metode de predare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0" w:line="272"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Observaţii</w:t>
            </w:r>
            <w:r w:rsidDel="00000000" w:rsidR="00000000" w:rsidRPr="00000000">
              <w:rPr>
                <w:rtl w:val="0"/>
              </w:rPr>
            </w:r>
          </w:p>
        </w:tc>
      </w:tr>
      <w:tr>
        <w:trPr>
          <w:cantSplit w:val="0"/>
          <w:trHeight w:val="10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Introducere: obiectivele disciplinei, prezentarea structurii sistemului fiscal din România. Principiile fiscalitâții. Introducere: obiectivele disciplinei, prezentarea structurii sistemului fiscal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5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1"/>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Obligația și creanța fiscală.</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1"/>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Procedura fiscală</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6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1"/>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profit. 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5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profit. 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8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1"/>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veniturile microintreprinderilor şi a impozitului specific unor unităţi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8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veniturile persoanelor fizice.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7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veniturile persoanelor fizice.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p w:rsidR="00000000" w:rsidDel="00000000" w:rsidP="00000000" w:rsidRDefault="00000000" w:rsidRPr="00000000" w14:paraId="000000BC">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Stabilirea și declararea TVA.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tabs>
                <w:tab w:val="left" w:leader="none" w:pos="820"/>
              </w:tabs>
              <w:spacing w:after="0" w:before="1" w:line="240" w:lineRule="auto"/>
              <w:ind w:left="457" w:right="-20" w:hanging="4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0" w:line="267" w:lineRule="auto"/>
              <w:ind w:right="-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5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Stabilirea și declararea TVA.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7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numPr>
                <w:ilvl w:val="0"/>
                <w:numId w:val="1"/>
              </w:numPr>
              <w:spacing w:after="0" w:line="240" w:lineRule="auto"/>
              <w:ind w:left="720" w:right="-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accizelor.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contribuțiilor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Determinarea și declararea impozitelor și taxelor locale.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tabs>
                <w:tab w:val="left" w:leader="none" w:pos="820"/>
              </w:tabs>
              <w:spacing w:after="0" w:before="1"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dezbatere, studii de caz.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r>
        <w:trPr>
          <w:cantSplit w:val="0"/>
          <w:trHeight w:val="5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Recapitulare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tabs>
                <w:tab w:val="left" w:leader="none" w:pos="820"/>
              </w:tabs>
              <w:spacing w:after="0" w:before="4" w:line="240" w:lineRule="auto"/>
              <w:ind w:left="46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ore</w:t>
            </w:r>
          </w:p>
        </w:tc>
      </w:tr>
    </w:tbl>
    <w:p w:rsidR="00000000" w:rsidDel="00000000" w:rsidP="00000000" w:rsidRDefault="00000000" w:rsidRPr="00000000" w14:paraId="000000D1">
      <w:pPr>
        <w:spacing w:after="0" w:before="2" w:line="9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after="0" w:before="14" w:line="260" w:lineRule="auto"/>
        <w:rPr>
          <w:rFonts w:ascii="Times New Roman" w:cs="Times New Roman" w:eastAsia="Times New Roman" w:hAnsi="Times New Roman"/>
        </w:rPr>
      </w:pPr>
      <w:r w:rsidDel="00000000" w:rsidR="00000000" w:rsidRPr="00000000">
        <w:rPr>
          <w:rtl w:val="0"/>
        </w:rPr>
      </w:r>
    </w:p>
    <w:tbl>
      <w:tblPr>
        <w:tblStyle w:val="Table9"/>
        <w:tblW w:w="10190.0" w:type="dxa"/>
        <w:jc w:val="left"/>
        <w:tblInd w:w="5.0" w:type="dxa"/>
        <w:tblLayout w:type="fixed"/>
        <w:tblLook w:val="0000"/>
      </w:tblPr>
      <w:tblGrid>
        <w:gridCol w:w="5490"/>
        <w:gridCol w:w="2984"/>
        <w:gridCol w:w="1716"/>
        <w:tblGridChange w:id="0">
          <w:tblGrid>
            <w:gridCol w:w="5490"/>
            <w:gridCol w:w="2984"/>
            <w:gridCol w:w="1716"/>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72"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8.2 Seminar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72"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Metode de predare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0" w:line="272"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Observaţii</w:t>
            </w:r>
            <w:r w:rsidDel="00000000" w:rsidR="00000000" w:rsidRPr="00000000">
              <w:rPr>
                <w:rtl w:val="0"/>
              </w:rPr>
            </w:r>
          </w:p>
        </w:tc>
      </w:tr>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numPr>
                <w:ilvl w:val="0"/>
                <w:numId w:val="2"/>
              </w:numPr>
              <w:spacing w:after="0" w:line="240" w:lineRule="auto"/>
              <w:ind w:left="720" w:right="-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Discutarea cerințelor și a metodelor de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tabs>
                <w:tab w:val="left" w:leader="none" w:pos="820"/>
              </w:tabs>
              <w:spacing w:after="0" w:line="293.00000000000006" w:lineRule="auto"/>
              <w:ind w:right="-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9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Înregistrarea fiscală a contribuabililor. Modalităti de stingerea a obligaţiilor. Dobânzi, penalităţi de neplată şi nedeclarare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 </w:t>
            </w:r>
          </w:p>
          <w:p w:rsidR="00000000" w:rsidDel="00000000" w:rsidP="00000000" w:rsidRDefault="00000000" w:rsidRPr="00000000" w14:paraId="000000DE">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after="0" w:line="267" w:lineRule="auto"/>
              <w:ind w:left="102" w:right="-20" w:firstLine="0"/>
              <w:jc w:val="center"/>
              <w:rPr>
                <w:rFonts w:ascii="Times New Roman" w:cs="Times New Roman" w:eastAsia="Times New Roman" w:hAnsi="Times New Roman"/>
              </w:rPr>
            </w:pPr>
            <w:r w:rsidDel="00000000" w:rsidR="00000000" w:rsidRPr="00000000">
              <w:rPr>
                <w:rtl w:val="0"/>
              </w:rPr>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profit. I. Aplicații practice.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profit. II. Aplicații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profit. Spețe non profit. Aplicații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veniturile microintreprinderilor. Aplicații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veniturile persoanelor fizice. Aplicații practice.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impozitului pe veniturile persoanelor fizice. Aplicații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TVA. Studiu de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TVA. Studiu de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accizelor. Studiu de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contribuțiilor sociale. Aplicații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Determinarea și declararea impozitelor și taxelor locale. Aplicații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widowControl w:val="1"/>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Recapitulare, legătura dintre contabilitate și fiscalitate.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Dezbatere, studii de caz, exemple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67" w:lineRule="auto"/>
              <w:ind w:left="102" w:righ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oră</w:t>
            </w:r>
          </w:p>
        </w:tc>
      </w:tr>
      <w:tr>
        <w:trPr>
          <w:cantSplit w:val="0"/>
          <w:trHeight w:val="355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72" w:lineRule="auto"/>
              <w:ind w:left="102" w:righ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Bibliografie</w:t>
            </w:r>
          </w:p>
          <w:p w:rsidR="00000000" w:rsidDel="00000000" w:rsidP="00000000" w:rsidRDefault="00000000" w:rsidRPr="00000000" w14:paraId="00000108">
            <w:pPr>
              <w:widowControl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widowControl w:val="1"/>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Popa, A.F., Păunescu M. &amp; Ciobanu, R (2021): </w:t>
            </w:r>
            <w:r w:rsidDel="00000000" w:rsidR="00000000" w:rsidRPr="00000000">
              <w:rPr>
                <w:rFonts w:ascii="Times New Roman" w:cs="Times New Roman" w:eastAsia="Times New Roman" w:hAnsi="Times New Roman"/>
                <w:i w:val="1"/>
                <w:rtl w:val="0"/>
              </w:rPr>
              <w:t xml:space="preserve">Fiscalitate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Editura CECCAR, Bucureşti. </w:t>
            </w:r>
          </w:p>
          <w:p w:rsidR="00000000" w:rsidDel="00000000" w:rsidP="00000000" w:rsidRDefault="00000000" w:rsidRPr="00000000" w14:paraId="0000010A">
            <w:pPr>
              <w:widowControl w:val="1"/>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I.Văcărel şi colectivul (2005), Finanţe publice, E.D.P., Bucureşti.</w:t>
            </w:r>
          </w:p>
          <w:p w:rsidR="00000000" w:rsidDel="00000000" w:rsidP="00000000" w:rsidRDefault="00000000" w:rsidRPr="00000000" w14:paraId="0000010B">
            <w:pPr>
              <w:widowControl w:val="1"/>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Tulai, Finanţele publice şi fiscalitatea, Ed. Casa cărţii de ştiinţă, Cluj-Napoca, 2007</w:t>
            </w:r>
          </w:p>
          <w:p w:rsidR="00000000" w:rsidDel="00000000" w:rsidP="00000000" w:rsidRDefault="00000000" w:rsidRPr="00000000" w14:paraId="0000010C">
            <w:pPr>
              <w:widowControl w:val="1"/>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I.D.Morar (2000),Sistemul fiscal romanesc.Traditie si capacitate de adaptare,Editura Dacia,Cluj-</w:t>
            </w:r>
          </w:p>
          <w:p w:rsidR="00000000" w:rsidDel="00000000" w:rsidP="00000000" w:rsidRDefault="00000000" w:rsidRPr="00000000" w14:paraId="0000010D">
            <w:pPr>
              <w:widowControl w:val="1"/>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Napoca.</w:t>
            </w:r>
          </w:p>
          <w:p w:rsidR="00000000" w:rsidDel="00000000" w:rsidP="00000000" w:rsidRDefault="00000000" w:rsidRPr="00000000" w14:paraId="0000010E">
            <w:pPr>
              <w:widowControl w:val="1"/>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Codul Fiscal: Legea 227/2015, actualizat </w:t>
            </w:r>
            <w:hyperlink r:id="rId8">
              <w:r w:rsidDel="00000000" w:rsidR="00000000" w:rsidRPr="00000000">
                <w:rPr>
                  <w:rFonts w:ascii="Times New Roman" w:cs="Times New Roman" w:eastAsia="Times New Roman" w:hAnsi="Times New Roman"/>
                  <w:color w:val="0000ff"/>
                  <w:u w:val="single"/>
                  <w:rtl w:val="0"/>
                </w:rPr>
                <w:t xml:space="preserve">https://static.anaf.ro/static/10/Anaf/legislatie/Cod_fiscal_norme_11022020.htm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F">
            <w:pPr>
              <w:widowControl w:val="1"/>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Norme metodologice de aplicare a Codului Fiscal: H.G. nr. 1/2016, actualizat </w:t>
            </w:r>
            <w:hyperlink r:id="rId9">
              <w:r w:rsidDel="00000000" w:rsidR="00000000" w:rsidRPr="00000000">
                <w:rPr>
                  <w:rFonts w:ascii="Times New Roman" w:cs="Times New Roman" w:eastAsia="Times New Roman" w:hAnsi="Times New Roman"/>
                  <w:color w:val="0000ff"/>
                  <w:u w:val="single"/>
                  <w:rtl w:val="0"/>
                </w:rPr>
                <w:t xml:space="preserve">https://static.anaf.ro/static/10/Anaf/legislatie/Cod_fiscal_norme_11022020.htm#B7_26</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0">
            <w:pPr>
              <w:widowControl w:val="1"/>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Codul de procedură fiscală: Legea nr. 207/2015, actualizat </w:t>
            </w:r>
            <w:hyperlink r:id="rId10">
              <w:r w:rsidDel="00000000" w:rsidR="00000000" w:rsidRPr="00000000">
                <w:rPr>
                  <w:rFonts w:ascii="Times New Roman" w:cs="Times New Roman" w:eastAsia="Times New Roman" w:hAnsi="Times New Roman"/>
                  <w:color w:val="0000ff"/>
                  <w:u w:val="single"/>
                  <w:rtl w:val="0"/>
                </w:rPr>
                <w:t xml:space="preserve">https://static.anaf.ro/static/10/Anaf/cod_procedura/Cod_Procedura_Fiscala_cu_norme_2016.htm</w:t>
              </w:r>
            </w:hyperlink>
            <w:r w:rsidDel="00000000" w:rsidR="00000000" w:rsidRPr="00000000">
              <w:rPr>
                <w:rtl w:val="0"/>
              </w:rPr>
            </w:r>
          </w:p>
          <w:p w:rsidR="00000000" w:rsidDel="00000000" w:rsidP="00000000" w:rsidRDefault="00000000" w:rsidRPr="00000000" w14:paraId="00000111">
            <w:pPr>
              <w:widowControl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3">
            <w:pPr>
              <w:widowControl w:val="1"/>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6">
      <w:pPr>
        <w:spacing w:after="0" w:before="69" w:line="241" w:lineRule="auto"/>
        <w:ind w:right="326"/>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7">
      <w:pPr>
        <w:spacing w:after="0" w:before="69" w:line="241" w:lineRule="auto"/>
        <w:ind w:right="32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Coroborarea conţinuturilor disciplinei cu aşteptările reprezentanţilor comunităţii epistemice, asociaţilor profesionale şi angajatori reprezentativi din domeniul aferent programului</w:t>
      </w:r>
    </w:p>
    <w:tbl>
      <w:tblPr>
        <w:tblStyle w:val="Table10"/>
        <w:tblW w:w="105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0"/>
        <w:tblGridChange w:id="0">
          <w:tblGrid>
            <w:gridCol w:w="10540"/>
          </w:tblGrid>
        </w:tblGridChange>
      </w:tblGrid>
      <w:tr>
        <w:trPr>
          <w:cantSplit w:val="0"/>
          <w:tblHeader w:val="0"/>
        </w:trPr>
        <w:tc>
          <w:tcPr/>
          <w:p w:rsidR="00000000" w:rsidDel="00000000" w:rsidP="00000000" w:rsidRDefault="00000000" w:rsidRPr="00000000" w14:paraId="00000118">
            <w:pPr>
              <w:spacing w:after="0" w:before="69" w:line="241" w:lineRule="auto"/>
              <w:ind w:right="326"/>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Conţinutul disciplinei este în concordanţă cu cele ale disciplinelor similare predate la programe de studii de licenţă de la facultăţi de profil din ţară şi străinătate</w:t>
            </w:r>
            <w:r w:rsidDel="00000000" w:rsidR="00000000" w:rsidRPr="00000000">
              <w:rPr>
                <w:rFonts w:ascii="Times New Roman" w:cs="Times New Roman" w:eastAsia="Times New Roman" w:hAnsi="Times New Roman"/>
                <w:rtl w:val="0"/>
              </w:rPr>
              <w:t xml:space="preserve"> si corespunde cerintelor practicii fiscale</w:t>
            </w:r>
            <w:r w:rsidDel="00000000" w:rsidR="00000000" w:rsidRPr="00000000">
              <w:rPr>
                <w:rFonts w:ascii="Times New Roman" w:cs="Times New Roman" w:eastAsia="Times New Roman" w:hAnsi="Times New Roman"/>
                <w:color w:val="000000"/>
                <w:rtl w:val="0"/>
              </w:rPr>
              <w:t xml:space="preserve">. În cadrul întâlnirilor cu reprezentanţii asociaţiilor profesionale şi cu angajatorii, aceştia au fost consultaţi cu privire la conţinutul disciplinei, astfel încât competenţele dobândite de absolvenţii acestei specializări să răspundă cerinţelor pieţei muncii.</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19">
      <w:pPr>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after="0" w:before="29" w:line="271" w:lineRule="auto"/>
        <w:ind w:left="213" w:right="-20" w:firstLine="0"/>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10. Evaluare</w:t>
      </w:r>
    </w:p>
    <w:p w:rsidR="00000000" w:rsidDel="00000000" w:rsidP="00000000" w:rsidRDefault="00000000" w:rsidRPr="00000000" w14:paraId="0000011C">
      <w:pPr>
        <w:spacing w:after="0" w:before="29" w:line="271" w:lineRule="auto"/>
        <w:ind w:left="213" w:right="-20" w:firstLine="0"/>
        <w:rPr>
          <w:rFonts w:ascii="Times New Roman" w:cs="Times New Roman" w:eastAsia="Times New Roman" w:hAnsi="Times New Roman"/>
          <w:b w:val="1"/>
          <w:vertAlign w:val="baseline"/>
        </w:rPr>
      </w:pPr>
      <w:r w:rsidDel="00000000" w:rsidR="00000000" w:rsidRPr="00000000">
        <w:rPr>
          <w:rtl w:val="0"/>
        </w:rPr>
      </w:r>
    </w:p>
    <w:tbl>
      <w:tblPr>
        <w:tblStyle w:val="Table11"/>
        <w:tblW w:w="10490.0" w:type="dxa"/>
        <w:jc w:val="left"/>
        <w:tblInd w:w="5.0" w:type="dxa"/>
        <w:tblLayout w:type="fixed"/>
        <w:tblLook w:val="0000"/>
      </w:tblPr>
      <w:tblGrid>
        <w:gridCol w:w="2518"/>
        <w:gridCol w:w="2410"/>
        <w:gridCol w:w="2715"/>
        <w:gridCol w:w="2847"/>
        <w:tblGridChange w:id="0">
          <w:tblGrid>
            <w:gridCol w:w="2518"/>
            <w:gridCol w:w="2410"/>
            <w:gridCol w:w="2715"/>
            <w:gridCol w:w="2847"/>
          </w:tblGrid>
        </w:tblGridChange>
      </w:tblGrid>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 activitate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Criterii de</w:t>
            </w:r>
          </w:p>
          <w:p w:rsidR="00000000" w:rsidDel="00000000" w:rsidP="00000000" w:rsidRDefault="00000000" w:rsidRPr="00000000" w14:paraId="0000011F">
            <w:pPr>
              <w:spacing w:after="0" w:line="240"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267"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Metode de evaluare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Pondere din nota</w:t>
            </w:r>
          </w:p>
          <w:p w:rsidR="00000000" w:rsidDel="00000000" w:rsidP="00000000" w:rsidRDefault="00000000" w:rsidRPr="00000000" w14:paraId="00000122">
            <w:pPr>
              <w:spacing w:after="0" w:line="240"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finală</w:t>
            </w:r>
          </w:p>
        </w:tc>
      </w:tr>
      <w:tr>
        <w:trPr>
          <w:cantSplit w:val="0"/>
          <w:trHeight w:val="372"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3">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Curs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4">
            <w:pPr>
              <w:spacing w:after="0" w:before="9" w:line="240" w:lineRule="auto"/>
              <w:ind w:left="105" w:right="8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Cunoasterea principiilor fiscalitatii, modul de determinare a diferitelor  tipuri de impozite si taxe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5">
            <w:pPr>
              <w:spacing w:after="0" w:line="240"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Examen scris, test grila</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6">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r>
        <w:trPr>
          <w:cantSplit w:val="0"/>
          <w:trHeight w:val="54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7">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 Seminar</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8">
            <w:pPr>
              <w:spacing w:after="0" w:line="239" w:lineRule="auto"/>
              <w:ind w:left="105" w:right="8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Insusirea si intelegerea tematicii de la curs, rezolvarea studiilor de caz, a problemelor, modul de intocmire a declaratiilor fiscale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9">
            <w:pPr>
              <w:spacing w:after="0" w:line="240" w:lineRule="auto"/>
              <w:ind w:left="105"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Lucrari pe parcursul semestrului, teme, studii de caz</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A">
            <w:pPr>
              <w:spacing w:after="0" w:line="267"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rHeight w:val="128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0" w:line="284" w:lineRule="auto"/>
              <w:ind w:left="102"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 Standard minim de performanţă</w:t>
            </w:r>
          </w:p>
          <w:p w:rsidR="00000000" w:rsidDel="00000000" w:rsidP="00000000" w:rsidRDefault="00000000" w:rsidRPr="00000000" w14:paraId="0000012C">
            <w:pPr>
              <w:spacing w:after="0" w:line="284" w:lineRule="auto"/>
              <w:ind w:left="102" w:righ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Obţinerea a minim 50% din punctajul total acordat, dintre care 25% pentru activitatea de seminar şi 25% la proba de  verificare.</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Determinarea principalelor impozite, taxe. Modul de intocmire a declaratiilor fiscale pentru un contribuabil.</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2">
      <w:pPr>
        <w:spacing w:after="0" w:before="5" w:line="200" w:lineRule="auto"/>
        <w:rPr>
          <w:rFonts w:ascii="Times New Roman" w:cs="Times New Roman" w:eastAsia="Times New Roman" w:hAnsi="Times New Roman"/>
        </w:rPr>
      </w:pPr>
      <w:r w:rsidDel="00000000" w:rsidR="00000000" w:rsidRPr="00000000">
        <w:rPr>
          <w:rtl w:val="0"/>
        </w:rPr>
      </w:r>
    </w:p>
    <w:tbl>
      <w:tblPr>
        <w:tblStyle w:val="Table12"/>
        <w:tblW w:w="10449.0" w:type="dxa"/>
        <w:jc w:val="left"/>
        <w:tblLayout w:type="fixed"/>
        <w:tblLook w:val="0000"/>
      </w:tblPr>
      <w:tblGrid>
        <w:gridCol w:w="2127"/>
        <w:gridCol w:w="4198"/>
        <w:gridCol w:w="4124"/>
        <w:tblGridChange w:id="0">
          <w:tblGrid>
            <w:gridCol w:w="2127"/>
            <w:gridCol w:w="4198"/>
            <w:gridCol w:w="4124"/>
          </w:tblGrid>
        </w:tblGridChange>
      </w:tblGrid>
      <w:tr>
        <w:trPr>
          <w:cantSplit w:val="0"/>
          <w:trHeight w:val="61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spacing w:after="0" w:line="240" w:lineRule="auto"/>
              <w:ind w:left="40"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spacing w:after="0" w:line="240" w:lineRule="auto"/>
              <w:ind w:left="667"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Semnătura titularului de curs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spacing w:after="0" w:line="240" w:lineRule="auto"/>
              <w:ind w:left="413"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Semnătura titularului de seminar</w:t>
            </w:r>
          </w:p>
        </w:tc>
      </w:tr>
      <w:tr>
        <w:trPr>
          <w:cantSplit w:val="0"/>
          <w:trHeight w:val="6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spacing w:after="0" w:line="240" w:lineRule="auto"/>
              <w:ind w:left="40"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septembrie 2023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spacing w:after="0" w:line="240" w:lineRule="auto"/>
              <w:ind w:left="609"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 Univ. Dr. Szász Erzsébet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8">
            <w:pPr>
              <w:spacing w:after="0" w:line="240" w:lineRule="auto"/>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Conf. Univ. Dr. Szász Erzsébet</w:t>
            </w:r>
          </w:p>
        </w:tc>
      </w:tr>
    </w:tbl>
    <w:p w:rsidR="00000000" w:rsidDel="00000000" w:rsidP="00000000" w:rsidRDefault="00000000" w:rsidRPr="00000000" w14:paraId="0000013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tabs>
          <w:tab w:val="left" w:leader="none" w:pos="6380"/>
        </w:tabs>
        <w:spacing w:after="0" w:line="240" w:lineRule="auto"/>
        <w:ind w:left="213"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avizării în departament</w:t>
        <w:tab/>
        <w:t xml:space="preserve">Semnătura directorului de departament</w:t>
      </w:r>
    </w:p>
    <w:p w:rsidR="00000000" w:rsidDel="00000000" w:rsidP="00000000" w:rsidRDefault="00000000" w:rsidRPr="00000000" w14:paraId="0000013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tabs>
          <w:tab w:val="left" w:leader="none" w:pos="6860"/>
        </w:tabs>
        <w:spacing w:after="0" w:line="240" w:lineRule="auto"/>
        <w:ind w:right="-2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25  septembrie 2023</w:t>
        <w:tab/>
        <w:t xml:space="preserve">Lector Univ. Dr. Veres Edit</w:t>
        <w:tab/>
      </w:r>
    </w:p>
    <w:sectPr>
      <w:type w:val="nextPage"/>
      <w:pgSz w:h="15840" w:w="12240" w:orient="portrait"/>
      <w:pgMar w:bottom="280" w:top="1060" w:left="920" w:right="9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73" w:hanging="360"/>
      </w:pPr>
      <w:rPr/>
    </w:lvl>
    <w:lvl w:ilvl="1">
      <w:start w:val="1"/>
      <w:numFmt w:val="lowerLetter"/>
      <w:lvlText w:val="%2."/>
      <w:lvlJc w:val="left"/>
      <w:pPr>
        <w:ind w:left="1293" w:hanging="359.9999999999999"/>
      </w:pPr>
      <w:rPr/>
    </w:lvl>
    <w:lvl w:ilvl="2">
      <w:start w:val="1"/>
      <w:numFmt w:val="lowerRoman"/>
      <w:lvlText w:val="%3."/>
      <w:lvlJc w:val="right"/>
      <w:pPr>
        <w:ind w:left="2013" w:hanging="180"/>
      </w:pPr>
      <w:rPr/>
    </w:lvl>
    <w:lvl w:ilvl="3">
      <w:start w:val="1"/>
      <w:numFmt w:val="decimal"/>
      <w:lvlText w:val="%4."/>
      <w:lvlJc w:val="left"/>
      <w:pPr>
        <w:ind w:left="2733" w:hanging="360"/>
      </w:pPr>
      <w:rPr/>
    </w:lvl>
    <w:lvl w:ilvl="4">
      <w:start w:val="1"/>
      <w:numFmt w:val="lowerLetter"/>
      <w:lvlText w:val="%5."/>
      <w:lvlJc w:val="left"/>
      <w:pPr>
        <w:ind w:left="3453" w:hanging="360"/>
      </w:pPr>
      <w:rPr/>
    </w:lvl>
    <w:lvl w:ilvl="5">
      <w:start w:val="1"/>
      <w:numFmt w:val="lowerRoman"/>
      <w:lvlText w:val="%6."/>
      <w:lvlJc w:val="right"/>
      <w:pPr>
        <w:ind w:left="4173" w:hanging="180"/>
      </w:pPr>
      <w:rPr/>
    </w:lvl>
    <w:lvl w:ilvl="6">
      <w:start w:val="1"/>
      <w:numFmt w:val="decimal"/>
      <w:lvlText w:val="%7."/>
      <w:lvlJc w:val="left"/>
      <w:pPr>
        <w:ind w:left="4893" w:hanging="360"/>
      </w:pPr>
      <w:rPr/>
    </w:lvl>
    <w:lvl w:ilvl="7">
      <w:start w:val="1"/>
      <w:numFmt w:val="lowerLetter"/>
      <w:lvlText w:val="%8."/>
      <w:lvlJc w:val="left"/>
      <w:pPr>
        <w:ind w:left="5613" w:hanging="360"/>
      </w:pPr>
      <w:rPr/>
    </w:lvl>
    <w:lvl w:ilvl="8">
      <w:start w:val="1"/>
      <w:numFmt w:val="lowerRoman"/>
      <w:lvlText w:val="%9."/>
      <w:lvlJc w:val="right"/>
      <w:pPr>
        <w:ind w:left="6333"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tatic.anaf.ro/static/10/Anaf/cod_procedura/Cod_Procedura_Fiscala_cu_norme_2016.htm" TargetMode="External"/><Relationship Id="rId9" Type="http://schemas.openxmlformats.org/officeDocument/2006/relationships/hyperlink" Target="https://static.anaf.ro/static/10/Anaf/legislatie/Cod_fiscal_norme_11022020.htm#B7_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tatic.anaf.ro/static/10/Anaf/legislatie/Cod_fiscal_norme_1102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gxr0Eba/xKWNfkSLe1nms7E5ng==">AMUW2mUo8LP8R+GAChbLsX72dHF0HRmgqG9GeH3pMr7/4SvgggjjscsV2U0GGIW4Qd09MpIi3nYg52P25yqoRIY4Wd5b6b2y4VnROoQhuX5kv0z2Urx7V+oWrfG9geH6j5LHjcF/V+mi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