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fișa disciplinei</w:t>
      </w:r>
    </w:p>
    <w:p w:rsidR="00000000" w:rsidDel="00000000" w:rsidP="00000000" w:rsidRDefault="00000000" w:rsidRPr="00000000" w14:paraId="0000000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despre program</w:t>
      </w:r>
    </w:p>
    <w:tbl>
      <w:tblPr>
        <w:tblStyle w:val="Table1"/>
        <w:tblW w:w="9638.0" w:type="dxa"/>
        <w:jc w:val="left"/>
        <w:tblLayout w:type="fixed"/>
        <w:tblLook w:val="0400"/>
      </w:tblPr>
      <w:tblGrid>
        <w:gridCol w:w="3812"/>
        <w:gridCol w:w="5826"/>
        <w:tblGridChange w:id="0">
          <w:tblGrid>
            <w:gridCol w:w="3812"/>
            <w:gridCol w:w="5826"/>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Instituția de învățământ superior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Universitatea Creștină Partium</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Facultatea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Facultatea de Științe Economice și Sociale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Departamentul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Economie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Domeniul de studii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Administrarea Afacerilor</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Ciclul de studii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Licenţă</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Programul de studii/Calificarea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ECTS</w:t>
            </w:r>
          </w:p>
        </w:tc>
      </w:tr>
    </w:tbl>
    <w:p w:rsidR="00000000" w:rsidDel="00000000" w:rsidP="00000000" w:rsidRDefault="00000000" w:rsidRPr="00000000" w14:paraId="0000000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despre disciplină</w:t>
      </w:r>
    </w:p>
    <w:tbl>
      <w:tblPr>
        <w:tblStyle w:val="Table2"/>
        <w:tblW w:w="9638.0" w:type="dxa"/>
        <w:jc w:val="left"/>
        <w:tblLayout w:type="fixed"/>
        <w:tblLook w:val="0400"/>
      </w:tblPr>
      <w:tblGrid>
        <w:gridCol w:w="3803"/>
        <w:gridCol w:w="5835"/>
        <w:tblGridChange w:id="0">
          <w:tblGrid>
            <w:gridCol w:w="3803"/>
            <w:gridCol w:w="5835"/>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Denumirea disciplinei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Comert electronic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(ECTS 3204)</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Titularul activității de curs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 Univ. Dr. Molnar Elisabeta Ilona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Titularul activității de seminar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 Univ. Dr. Molnar Elisabeta Ilona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Anul de studiu</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Semestrul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Tipul de evaluare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Examen</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Regimul disciplinei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DS</w:t>
            </w:r>
          </w:p>
        </w:tc>
      </w:tr>
    </w:tbl>
    <w:p w:rsidR="00000000" w:rsidDel="00000000" w:rsidP="00000000" w:rsidRDefault="00000000" w:rsidRPr="00000000" w14:paraId="0000001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Timpul total estimat</w:t>
      </w:r>
    </w:p>
    <w:tbl>
      <w:tblPr>
        <w:tblStyle w:val="Table3"/>
        <w:tblW w:w="9638.0" w:type="dxa"/>
        <w:jc w:val="left"/>
        <w:tblLayout w:type="fixed"/>
        <w:tblLook w:val="0400"/>
      </w:tblPr>
      <w:tblGrid>
        <w:gridCol w:w="3799"/>
        <w:gridCol w:w="954"/>
        <w:gridCol w:w="1475"/>
        <w:gridCol w:w="568"/>
        <w:gridCol w:w="2156"/>
        <w:gridCol w:w="686"/>
        <w:tblGridChange w:id="0">
          <w:tblGrid>
            <w:gridCol w:w="3799"/>
            <w:gridCol w:w="954"/>
            <w:gridCol w:w="1475"/>
            <w:gridCol w:w="568"/>
            <w:gridCol w:w="2156"/>
            <w:gridCol w:w="686"/>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Număr de ore pe săptămână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seminar/laborator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ore din planul de învățământ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seminar/laborator</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Distribuția fondului de timp</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Ore</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Studiul după manual, suport de curs, bibliografie și notițe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Documentare suplimentară în bibliotecă, pe platforme electronice de specialitate și pe teren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Pregătire seminarii/laboratoare, teme, referate, portofolii și eseuri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Tutoriat</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Examinări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Alte activități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5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ore studiu individual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5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ore pe semestru</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r>
      <w:tr>
        <w:trPr>
          <w:cantSplit w:val="0"/>
          <w:tblHeader w:val="0"/>
        </w:trPr>
        <w:tc>
          <w:tcPr>
            <w:gridSpan w:val="5"/>
            <w:tcBorders>
              <w:left w:color="000000" w:space="0" w:sz="4" w:val="single"/>
              <w:bottom w:color="000000" w:space="0" w:sz="4" w:val="single"/>
            </w:tcBorders>
            <w:shd w:fill="auto" w:val="clear"/>
          </w:tcPr>
          <w:p w:rsidR="00000000" w:rsidDel="00000000" w:rsidP="00000000" w:rsidRDefault="00000000" w:rsidRPr="00000000" w14:paraId="0000006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Numărul de credite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bl>
    <w:p w:rsidR="00000000" w:rsidDel="00000000" w:rsidP="00000000" w:rsidRDefault="00000000" w:rsidRPr="00000000" w14:paraId="0000006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Precondiții (unde este cazul)</w:t>
      </w:r>
    </w:p>
    <w:tbl>
      <w:tblPr>
        <w:tblStyle w:val="Table4"/>
        <w:tblW w:w="9641.0" w:type="dxa"/>
        <w:jc w:val="left"/>
        <w:tblInd w:w="5.0" w:type="dxa"/>
        <w:tblLayout w:type="fixed"/>
        <w:tblLook w:val="0400"/>
      </w:tblPr>
      <w:tblGrid>
        <w:gridCol w:w="2150"/>
        <w:gridCol w:w="7491"/>
        <w:tblGridChange w:id="0">
          <w:tblGrid>
            <w:gridCol w:w="2150"/>
            <w:gridCol w:w="7491"/>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curriculum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competențe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6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Condiții (acolo unde este cazul)</w:t>
      </w:r>
    </w:p>
    <w:tbl>
      <w:tblPr>
        <w:tblStyle w:val="Table5"/>
        <w:tblW w:w="9641.0" w:type="dxa"/>
        <w:jc w:val="left"/>
        <w:tblInd w:w="5.0" w:type="dxa"/>
        <w:tblLayout w:type="fixed"/>
        <w:tblLook w:val="0400"/>
      </w:tblPr>
      <w:tblGrid>
        <w:gridCol w:w="4592"/>
        <w:gridCol w:w="5049"/>
        <w:tblGridChange w:id="0">
          <w:tblGrid>
            <w:gridCol w:w="4592"/>
            <w:gridCol w:w="5049"/>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desfășurare a cursului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Sală de curs, calculator, videoproiector, tablă, Internet</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desfășurare a seminarului/laboratorului</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Sală de curs, calculator, videoproiector, tablă, internet,teren</w:t>
            </w:r>
            <w:r w:rsidDel="00000000" w:rsidR="00000000" w:rsidRPr="00000000">
              <w:rPr>
                <w:rtl w:val="0"/>
              </w:rPr>
            </w:r>
          </w:p>
        </w:tc>
      </w:tr>
    </w:tbl>
    <w:p w:rsidR="00000000" w:rsidDel="00000000" w:rsidP="00000000" w:rsidRDefault="00000000" w:rsidRPr="00000000" w14:paraId="0000007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Competențe specifice acumulate</w:t>
      </w:r>
    </w:p>
    <w:tbl>
      <w:tblPr>
        <w:tblStyle w:val="Table6"/>
        <w:tblW w:w="9638.0" w:type="dxa"/>
        <w:jc w:val="left"/>
        <w:tblLayout w:type="fixed"/>
        <w:tblLook w:val="0400"/>
      </w:tblPr>
      <w:tblGrid>
        <w:gridCol w:w="1703"/>
        <w:gridCol w:w="7935"/>
        <w:tblGridChange w:id="0">
          <w:tblGrid>
            <w:gridCol w:w="1703"/>
            <w:gridCol w:w="7935"/>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Competențe profesionale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jc w:val="both"/>
              <w:rPr/>
            </w:pPr>
            <w:r w:rsidDel="00000000" w:rsidR="00000000" w:rsidRPr="00000000">
              <w:rPr>
                <w:rtl w:val="0"/>
              </w:rPr>
              <w:t xml:space="preserve">C1.1 Definirea adecvată a conceptelor și principiilor specifice teoriei economice, precum și a celor din domeniul comerțului, turismului și serviciilor.</w:t>
            </w:r>
          </w:p>
          <w:p w:rsidR="00000000" w:rsidDel="00000000" w:rsidP="00000000" w:rsidRDefault="00000000" w:rsidRPr="00000000" w14:paraId="00000074">
            <w:pPr>
              <w:jc w:val="both"/>
              <w:rPr/>
            </w:pPr>
            <w:r w:rsidDel="00000000" w:rsidR="00000000" w:rsidRPr="00000000">
              <w:rPr>
                <w:rtl w:val="0"/>
              </w:rPr>
              <w:t xml:space="preserve">C2.1 Descrierea modalităților de concepere a produsului turistic, a tehnicilor de comercializare și a comportamentului agenților economici în contextul creat de legislația și regulamente aferente în vigoare.</w:t>
            </w:r>
          </w:p>
          <w:p w:rsidR="00000000" w:rsidDel="00000000" w:rsidP="00000000" w:rsidRDefault="00000000" w:rsidRPr="00000000" w14:paraId="00000075">
            <w:pPr>
              <w:jc w:val="both"/>
              <w:rPr/>
            </w:pPr>
            <w:r w:rsidDel="00000000" w:rsidR="00000000" w:rsidRPr="00000000">
              <w:rPr>
                <w:rtl w:val="0"/>
              </w:rPr>
              <w:t xml:space="preserve">C2.2 Explicarea și interpretarea fluxurilor și a tehnicilor de comercializare diferențiat după natura produselor și serviciilor.</w:t>
            </w:r>
          </w:p>
          <w:p w:rsidR="00000000" w:rsidDel="00000000" w:rsidP="00000000" w:rsidRDefault="00000000" w:rsidRPr="00000000" w14:paraId="00000076">
            <w:pPr>
              <w:jc w:val="both"/>
              <w:rPr/>
            </w:pPr>
            <w:r w:rsidDel="00000000" w:rsidR="00000000" w:rsidRPr="00000000">
              <w:rPr>
                <w:rtl w:val="0"/>
              </w:rPr>
              <w:t xml:space="preserve">C2.4 Analiza critic- constructivă a relațiilor dintre consumatorii și furnizorii specifici domeniului comerț, turism și servicii.</w:t>
            </w:r>
          </w:p>
          <w:p w:rsidR="00000000" w:rsidDel="00000000" w:rsidP="00000000" w:rsidRDefault="00000000" w:rsidRPr="00000000" w14:paraId="00000077">
            <w:pPr>
              <w:jc w:val="both"/>
              <w:rPr/>
            </w:pPr>
            <w:r w:rsidDel="00000000" w:rsidR="00000000" w:rsidRPr="00000000">
              <w:rPr>
                <w:rtl w:val="0"/>
              </w:rPr>
              <w:t xml:space="preserve">C2.5 Fundamentarea de planuri de comercializare, de oferte, de programe de promovare – publicitate, promovare directă, relații publice, marketing direct.</w:t>
            </w:r>
          </w:p>
          <w:p w:rsidR="00000000" w:rsidDel="00000000" w:rsidP="00000000" w:rsidRDefault="00000000" w:rsidRPr="00000000" w14:paraId="00000078">
            <w:pPr>
              <w:jc w:val="both"/>
              <w:rPr>
                <w:i w:val="0"/>
                <w:smallCaps w:val="0"/>
                <w:strike w:val="0"/>
                <w:color w:val="000000"/>
                <w:sz w:val="22"/>
                <w:szCs w:val="22"/>
                <w:u w:val="none"/>
                <w:shd w:fill="auto" w:val="clear"/>
                <w:vertAlign w:val="baseline"/>
              </w:rPr>
            </w:pPr>
            <w:r w:rsidDel="00000000" w:rsidR="00000000" w:rsidRPr="00000000">
              <w:rPr>
                <w:rtl w:val="0"/>
              </w:rPr>
              <w:t xml:space="preserve">C5.4 Evaluarea și particularizarea metodelor și modelelor de asigurare calității la specificul organizațiilor de comerț, turism și servicii.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Competențe transversale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CT.1 Aplicarea principiilor, normelor şi valorilor de etică profesională în cadrul propriei strategii de muncă riguroasă, eficientă şi responsabilă.</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CT.2 Identificarea rolurilor şi responsabilităţilor într-o echipă plurispecializată şi aplicarea de tehnici de relaţionare şi muncă eficientă în cadrul echipei.</w:t>
            </w:r>
          </w:p>
        </w:tc>
      </w:tr>
    </w:tbl>
    <w:p w:rsidR="00000000" w:rsidDel="00000000" w:rsidP="00000000" w:rsidRDefault="00000000" w:rsidRPr="00000000" w14:paraId="0000007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Obiectivele disciplinei (reieșind din grila competențelor specifice acumulate)</w:t>
      </w:r>
    </w:p>
    <w:tbl>
      <w:tblPr>
        <w:tblStyle w:val="Table7"/>
        <w:tblW w:w="9641.0" w:type="dxa"/>
        <w:jc w:val="left"/>
        <w:tblInd w:w="5.0" w:type="dxa"/>
        <w:tblLayout w:type="fixed"/>
        <w:tblLook w:val="0400"/>
      </w:tblPr>
      <w:tblGrid>
        <w:gridCol w:w="1703"/>
        <w:gridCol w:w="7938"/>
        <w:tblGridChange w:id="0">
          <w:tblGrid>
            <w:gridCol w:w="1703"/>
            <w:gridCol w:w="7938"/>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Obiectivul general al</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disciplinei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Iniţiere în studiul comerțului electronic și turismului online. Cunoasterea sistemului GDS Amadeus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Obiectivele generale:</w:t>
            </w:r>
          </w:p>
          <w:p w:rsidR="00000000" w:rsidDel="00000000" w:rsidP="00000000" w:rsidRDefault="00000000" w:rsidRPr="00000000" w14:paraId="00000081">
            <w:pPr>
              <w:widowControl w:val="0"/>
              <w:numPr>
                <w:ilvl w:val="0"/>
                <w:numId w:val="2"/>
              </w:numPr>
              <w:ind w:left="720" w:hanging="360"/>
              <w:rPr>
                <w:u w:val="none"/>
              </w:rPr>
            </w:pPr>
            <w:r w:rsidDel="00000000" w:rsidR="00000000" w:rsidRPr="00000000">
              <w:rPr>
                <w:rtl w:val="0"/>
              </w:rPr>
              <w:t xml:space="preserve">Cunoaşterea, înţelegerea conceptelor, teoriilor şi metodelor de bază ale domeniului comerțului electronic și turismului online şi ale ariei de specializare; utilizarea lor adecvată în comunicarea profesională.</w:t>
            </w:r>
          </w:p>
          <w:p w:rsidR="00000000" w:rsidDel="00000000" w:rsidP="00000000" w:rsidRDefault="00000000" w:rsidRPr="00000000" w14:paraId="00000082">
            <w:pPr>
              <w:widowControl w:val="0"/>
              <w:numPr>
                <w:ilvl w:val="0"/>
                <w:numId w:val="2"/>
              </w:numPr>
              <w:ind w:left="720" w:hanging="360"/>
              <w:rPr>
                <w:u w:val="none"/>
              </w:rPr>
            </w:pPr>
            <w:r w:rsidDel="00000000" w:rsidR="00000000" w:rsidRPr="00000000">
              <w:rPr>
                <w:rtl w:val="0"/>
              </w:rPr>
              <w:t xml:space="preserve">Utilizarea cunoştinţelor de bază pentru explicarea şi interpretarea unor variate tipuri de concepte, situaţii, procese, proiecte etc. asociate domeniului.</w:t>
            </w:r>
          </w:p>
          <w:p w:rsidR="00000000" w:rsidDel="00000000" w:rsidP="00000000" w:rsidRDefault="00000000" w:rsidRPr="00000000" w14:paraId="00000083">
            <w:pPr>
              <w:widowControl w:val="0"/>
              <w:numPr>
                <w:ilvl w:val="0"/>
                <w:numId w:val="2"/>
              </w:numPr>
              <w:ind w:left="720" w:hanging="360"/>
              <w:rPr>
                <w:u w:val="none"/>
              </w:rPr>
            </w:pPr>
            <w:r w:rsidDel="00000000" w:rsidR="00000000" w:rsidRPr="00000000">
              <w:rPr>
                <w:rtl w:val="0"/>
              </w:rPr>
              <w:t xml:space="preserve">Aplicarea unor principii şi metode de bază pentru rezolvarea de probleme/situaţii bine definite, tipice domeniului în condiţii de asistenţă calificată.</w:t>
            </w:r>
          </w:p>
          <w:p w:rsidR="00000000" w:rsidDel="00000000" w:rsidP="00000000" w:rsidRDefault="00000000" w:rsidRPr="00000000" w14:paraId="00000084">
            <w:pPr>
              <w:widowControl w:val="0"/>
              <w:numPr>
                <w:ilvl w:val="0"/>
                <w:numId w:val="2"/>
              </w:numPr>
              <w:ind w:left="720" w:hanging="360"/>
              <w:rPr>
                <w:u w:val="none"/>
              </w:rPr>
            </w:pPr>
            <w:r w:rsidDel="00000000" w:rsidR="00000000" w:rsidRPr="00000000">
              <w:rPr>
                <w:rtl w:val="0"/>
              </w:rPr>
              <w:t xml:space="preserve">Utilizarea adecvată de criterii şi metode standard de evaluare, pentru a aprecia calitatea, meritele şi limitele unor procese, programe, proiecte, concepte, metode și teorii.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Obiectivele specifice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Inițiere în studiul afacerilor electronice, comerțului electronic, marketingului electronic, turismului online. Analiza caracteristicilor societății informaționale cu implicații asupra comerțului electronic. Prezentarea elementelor teoretice fundamentale de afaceri electronice, de comerț electronic,  de turism online. Utilizarea sistemului Amadeus basic.</w:t>
            </w:r>
          </w:p>
        </w:tc>
      </w:tr>
    </w:tbl>
    <w:p w:rsidR="00000000" w:rsidDel="00000000" w:rsidP="00000000" w:rsidRDefault="00000000" w:rsidRPr="00000000" w14:paraId="0000008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Conținuturi</w:t>
      </w:r>
    </w:p>
    <w:tbl>
      <w:tblPr>
        <w:tblStyle w:val="Table8"/>
        <w:tblW w:w="9641.0" w:type="dxa"/>
        <w:jc w:val="left"/>
        <w:tblInd w:w="5.0" w:type="dxa"/>
        <w:tblLayout w:type="fixed"/>
        <w:tblLook w:val="0400"/>
      </w:tblPr>
      <w:tblGrid>
        <w:gridCol w:w="5392"/>
        <w:gridCol w:w="2933"/>
        <w:gridCol w:w="1316"/>
        <w:tblGridChange w:id="0">
          <w:tblGrid>
            <w:gridCol w:w="5392"/>
            <w:gridCol w:w="2933"/>
            <w:gridCol w:w="131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Curs</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de predare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Observații</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Concepte fundamentale. Evoluția comerțului electronic. Actorii implicați în comerțul electronic – Global Distribution System (GDS)</w:t>
            </w:r>
          </w:p>
        </w:tc>
        <w:tc>
          <w:tcPr>
            <w:tcBorders>
              <w:left w:color="000000" w:space="0" w:sz="4" w:val="single"/>
              <w:bottom w:color="000000" w:space="0" w:sz="4" w:val="single"/>
            </w:tcBorders>
            <w:shd w:fill="auto"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GDS AMADEUS – istoric, evoluție, portfolio. Rolul GDS in transporturi, turism și industria hotelieră. GDS-AMADEUS</w:t>
            </w:r>
          </w:p>
        </w:tc>
        <w:tc>
          <w:tcPr>
            <w:tcBorders>
              <w:left w:color="000000" w:space="0" w:sz="4" w:val="single"/>
              <w:bottom w:color="000000" w:space="0" w:sz="4" w:val="single"/>
            </w:tcBorders>
            <w:shd w:fill="auto"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Industry Fundamentals</w:t>
            </w:r>
          </w:p>
        </w:tc>
        <w:tc>
          <w:tcPr>
            <w:tcBorders>
              <w:left w:color="000000" w:space="0" w:sz="4" w:val="single"/>
              <w:bottom w:color="000000" w:space="0" w:sz="4" w:val="single"/>
            </w:tcBorders>
            <w:shd w:fill="auto"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Industry Fundamentals</w:t>
            </w:r>
          </w:p>
        </w:tc>
        <w:tc>
          <w:tcPr>
            <w:tcBorders>
              <w:left w:color="000000" w:space="0" w:sz="4" w:val="single"/>
              <w:bottom w:color="000000" w:space="0" w:sz="4" w:val="single"/>
            </w:tcBorders>
            <w:shd w:fill="auto"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 Amadeus sistem/Curs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Marketing si vânzări online în turism.Forme si modalitati de plată în comerțul electronic.</w:t>
            </w:r>
          </w:p>
        </w:tc>
        <w:tc>
          <w:tcPr>
            <w:tcBorders>
              <w:left w:color="000000" w:space="0" w:sz="4" w:val="single"/>
              <w:bottom w:color="000000" w:space="0" w:sz="4" w:val="single"/>
            </w:tcBorders>
            <w:shd w:fill="auto"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A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Infrastructura comerțului electronic, turismului online. „Metasearch engine „ în turismul online. Comerțul electronic de tip B2B, B2C, B2A.</w:t>
            </w:r>
          </w:p>
        </w:tc>
        <w:tc>
          <w:tcPr>
            <w:tcBorders>
              <w:left w:color="000000" w:space="0" w:sz="4" w:val="single"/>
              <w:bottom w:color="000000" w:space="0" w:sz="4" w:val="single"/>
            </w:tcBorders>
            <w:shd w:fill="auto"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Portaluri online de turism / OTA -  în Europa Mijlocie și de Est și rolul acestora</w:t>
            </w:r>
          </w:p>
        </w:tc>
        <w:tc>
          <w:tcPr>
            <w:tcBorders>
              <w:left w:color="000000" w:space="0" w:sz="4" w:val="single"/>
              <w:bottom w:color="000000" w:space="0" w:sz="4" w:val="single"/>
            </w:tcBorders>
            <w:shd w:fill="auto"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PPT/internet/Curs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Avantajele și dezavantajele comerțului electronic. Rolul guvernelor în dezvoltarea comerțului electronic.Legislație privind comerțul electronc.</w:t>
            </w:r>
          </w:p>
        </w:tc>
        <w:tc>
          <w:tcPr>
            <w:tcBorders>
              <w:left w:color="000000" w:space="0" w:sz="4" w:val="single"/>
              <w:bottom w:color="000000" w:space="0" w:sz="4" w:val="single"/>
            </w:tcBorders>
            <w:shd w:fill="auto"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Prezentare PPT/Curs interactiv</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Seminar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de predare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Observații</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Notiuni și termeni în sistemul de distribuție - Global Distribution System –</w:t>
            </w:r>
          </w:p>
        </w:tc>
        <w:tc>
          <w:tcPr>
            <w:tcBorders>
              <w:left w:color="000000" w:space="0" w:sz="4" w:val="single"/>
              <w:bottom w:color="000000" w:space="0" w:sz="4" w:val="single"/>
            </w:tcBorders>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GDS AMADEUS – prezentare platforma</w:t>
            </w:r>
          </w:p>
        </w:tc>
        <w:tc>
          <w:tcPr>
            <w:tcBorders>
              <w:left w:color="000000" w:space="0" w:sz="4" w:val="single"/>
              <w:bottom w:color="000000" w:space="0" w:sz="4" w:val="single"/>
            </w:tcBorders>
            <w:shd w:fill="auto"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B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GDS AMADEUS – prezentare program</w:t>
            </w:r>
          </w:p>
        </w:tc>
        <w:tc>
          <w:tcPr>
            <w:tcBorders>
              <w:left w:color="000000" w:space="0" w:sz="4" w:val="single"/>
              <w:bottom w:color="000000" w:space="0" w:sz="4" w:val="single"/>
            </w:tcBorders>
            <w:shd w:fill="auto" w:val="cle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Travel Industry Fundamentals</w:t>
            </w:r>
          </w:p>
        </w:tc>
        <w:tc>
          <w:tcPr>
            <w:tcBorders>
              <w:left w:color="000000" w:space="0" w:sz="4" w:val="single"/>
              <w:bottom w:color="000000" w:space="0" w:sz="4" w:val="single"/>
            </w:tcBorders>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basic course</w:t>
            </w:r>
          </w:p>
        </w:tc>
        <w:tc>
          <w:tcPr>
            <w:tcBorders>
              <w:left w:color="000000" w:space="0" w:sz="4" w:val="single"/>
              <w:bottom w:color="000000" w:space="0" w:sz="4" w:val="single"/>
            </w:tcBorders>
            <w:shd w:fill="auto"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Amadeus training program</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Portaluri online de turism / OTA -  în Europa Mijlocie și de Est și rolul acestora</w:t>
            </w:r>
          </w:p>
        </w:tc>
        <w:tc>
          <w:tcPr>
            <w:tcBorders>
              <w:left w:color="000000" w:space="0" w:sz="4" w:val="single"/>
              <w:bottom w:color="000000" w:space="0" w:sz="4" w:val="single"/>
            </w:tcBorders>
            <w:shd w:fill="auto"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Studiu de caz - OTA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E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Evaluare</w:t>
            </w:r>
          </w:p>
        </w:tc>
        <w:tc>
          <w:tcPr>
            <w:tcBorders>
              <w:left w:color="000000" w:space="0" w:sz="4" w:val="single"/>
              <w:bottom w:color="000000" w:space="0" w:sz="4" w:val="single"/>
            </w:tcBorders>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ore</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keepNext w:val="1"/>
              <w:keepLines w:val="0"/>
              <w:pageBreakBefore w:val="0"/>
              <w:widowControl w:val="0"/>
              <w:pBdr>
                <w:top w:space="0" w:sz="0" w:val="nil"/>
                <w:left w:space="0" w:sz="0" w:val="nil"/>
                <w:bottom w:space="0" w:sz="0" w:val="nil"/>
                <w:right w:space="0" w:sz="0" w:val="nil"/>
                <w:between w:space="0" w:sz="0" w:val="nil"/>
              </w:pBdr>
              <w:shd w:fill="auto" w:val="clear"/>
              <w:spacing w:after="17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Bibliografie obligatorie</w:t>
            </w:r>
          </w:p>
          <w:p w:rsidR="00000000" w:rsidDel="00000000" w:rsidP="00000000" w:rsidRDefault="00000000" w:rsidRPr="00000000" w14:paraId="000000E7">
            <w:pPr>
              <w:widowControl w:val="0"/>
              <w:rPr/>
            </w:pPr>
            <w:r w:rsidDel="00000000" w:rsidR="00000000" w:rsidRPr="00000000">
              <w:rPr>
                <w:rtl w:val="0"/>
              </w:rPr>
              <w:t xml:space="preserve">Tema 1-14  Materialul prezentat la curs si seminar -suport curs</w:t>
            </w:r>
          </w:p>
          <w:p w:rsidR="00000000" w:rsidDel="00000000" w:rsidP="00000000" w:rsidRDefault="00000000" w:rsidRPr="00000000" w14:paraId="000000E8">
            <w:pPr>
              <w:widowControl w:val="0"/>
              <w:rPr/>
            </w:pPr>
            <w:r w:rsidDel="00000000" w:rsidR="00000000" w:rsidRPr="00000000">
              <w:rPr>
                <w:rtl w:val="0"/>
              </w:rPr>
              <w:t xml:space="preserve">                   GDS Amadeus System – suport curs</w:t>
            </w:r>
          </w:p>
          <w:p w:rsidR="00000000" w:rsidDel="00000000" w:rsidP="00000000" w:rsidRDefault="00000000" w:rsidRPr="00000000" w14:paraId="000000E9">
            <w:pPr>
              <w:widowControl w:val="0"/>
              <w:rPr/>
            </w:pPr>
            <w:r w:rsidDel="00000000" w:rsidR="00000000" w:rsidRPr="00000000">
              <w:rPr>
                <w:rtl w:val="0"/>
              </w:rPr>
              <w:t xml:space="preserve">                   Kerry Medina, Alex Hadwick (2019) The State of Hospitality Distribution: Direct Bookings, </w:t>
            </w:r>
          </w:p>
          <w:p w:rsidR="00000000" w:rsidDel="00000000" w:rsidP="00000000" w:rsidRDefault="00000000" w:rsidRPr="00000000" w14:paraId="000000EA">
            <w:pPr>
              <w:widowControl w:val="0"/>
              <w:rPr/>
            </w:pPr>
            <w:r w:rsidDel="00000000" w:rsidR="00000000" w:rsidRPr="00000000">
              <w:rPr>
                <w:rtl w:val="0"/>
              </w:rPr>
              <w:t xml:space="preserve">                   EyeforTravel</w:t>
            </w:r>
          </w:p>
          <w:p w:rsidR="00000000" w:rsidDel="00000000" w:rsidP="00000000" w:rsidRDefault="00000000" w:rsidRPr="00000000" w14:paraId="000000E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Bibliografie facultativă</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With OTAs, Arrival Guide, 2018</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Airline Digital Trend Report , Smarter Travel Marketing, Digintravel, 2021</w:t>
            </w:r>
          </w:p>
        </w:tc>
      </w:tr>
    </w:tbl>
    <w:p w:rsidR="00000000" w:rsidDel="00000000" w:rsidP="00000000" w:rsidRDefault="00000000" w:rsidRPr="00000000" w14:paraId="000000F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Coroborarea conținuturilor disciplinei cu așteptările reprezentanților comunității epistemice, asociațiilor profesionale și angajatorilor reprezentativi din domeniul aferent programului</w:t>
      </w:r>
    </w:p>
    <w:tbl>
      <w:tblPr>
        <w:tblStyle w:val="Table9"/>
        <w:tblW w:w="9638.0" w:type="dxa"/>
        <w:jc w:val="left"/>
        <w:tblLayout w:type="fixed"/>
        <w:tblLook w:val="0400"/>
      </w:tblPr>
      <w:tblGrid>
        <w:gridCol w:w="9638"/>
        <w:tblGridChange w:id="0">
          <w:tblGrid>
            <w:gridCol w:w="9638"/>
          </w:tblGrid>
        </w:tblGridChange>
      </w:tblGrid>
      <w:tr>
        <w:trPr>
          <w:cantSplit w:val="0"/>
          <w:trHeight w:val="71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Conţinutul disciplinei este în concordanţă cu ceea ce se studiază în alte centre universitare din țară şi din străinătate, precum și cu cerințele activităților profesionale derulate în cadrul organizațiilor angajatoare.</w:t>
            </w:r>
          </w:p>
        </w:tc>
      </w:tr>
    </w:tbl>
    <w:p w:rsidR="00000000" w:rsidDel="00000000" w:rsidP="00000000" w:rsidRDefault="00000000" w:rsidRPr="00000000" w14:paraId="000000F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70" w:before="113"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Evaluare</w:t>
      </w:r>
    </w:p>
    <w:tbl>
      <w:tblPr>
        <w:tblStyle w:val="Table10"/>
        <w:tblW w:w="9638.0" w:type="dxa"/>
        <w:jc w:val="left"/>
        <w:tblLayout w:type="fixed"/>
        <w:tblLook w:val="0400"/>
      </w:tblPr>
      <w:tblGrid>
        <w:gridCol w:w="1586"/>
        <w:gridCol w:w="963"/>
        <w:gridCol w:w="1869"/>
        <w:gridCol w:w="517"/>
        <w:gridCol w:w="963"/>
        <w:gridCol w:w="2090"/>
        <w:gridCol w:w="1650"/>
        <w:tblGridChange w:id="0">
          <w:tblGrid>
            <w:gridCol w:w="1586"/>
            <w:gridCol w:w="963"/>
            <w:gridCol w:w="1869"/>
            <w:gridCol w:w="517"/>
            <w:gridCol w:w="963"/>
            <w:gridCol w:w="2090"/>
            <w:gridCol w:w="1650"/>
          </w:tblGrid>
        </w:tblGridChange>
      </w:tblGrid>
      <w:tr>
        <w:trPr>
          <w:cantSplit w:val="0"/>
          <w:trHeight w:val="56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 activitate</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F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Criterii de evaluare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Metode de evaluare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Pondere din nota finală</w:t>
            </w:r>
          </w:p>
        </w:tc>
      </w:tr>
      <w:tr>
        <w:trPr>
          <w:cantSplit w:val="0"/>
          <w:trHeight w:val="54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FA">
            <w:pPr>
              <w:widowControl w:val="0"/>
              <w:numPr>
                <w:ilvl w:val="1"/>
                <w:numId w:val="4"/>
              </w:numPr>
              <w:ind w:left="0" w:firstLine="0"/>
              <w:rPr/>
            </w:pPr>
            <w:r w:rsidDel="00000000" w:rsidR="00000000" w:rsidRPr="00000000">
              <w:rPr>
                <w:rtl w:val="0"/>
              </w:rPr>
              <w:t xml:space="preserve">Curs</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FB">
            <w:pPr>
              <w:widowControl w:val="0"/>
              <w:rPr/>
            </w:pPr>
            <w:r w:rsidDel="00000000" w:rsidR="00000000" w:rsidRPr="00000000">
              <w:rPr>
                <w:sz w:val="20"/>
                <w:szCs w:val="20"/>
                <w:rtl w:val="0"/>
              </w:rPr>
              <w:t xml:space="preserve">Evaluare sumativă</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widowControl w:val="0"/>
              <w:rPr/>
            </w:pPr>
            <w:r w:rsidDel="00000000" w:rsidR="00000000" w:rsidRPr="00000000">
              <w:rPr>
                <w:rtl w:val="0"/>
              </w:rPr>
              <w:t xml:space="preserve">Examen scris si oral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widowControl w:val="0"/>
              <w:rPr/>
            </w:pPr>
            <w:r w:rsidDel="00000000" w:rsidR="00000000" w:rsidRPr="00000000">
              <w:rPr>
                <w:rtl w:val="0"/>
              </w:rPr>
              <w:t xml:space="preserve">60 %</w:t>
            </w:r>
          </w:p>
        </w:tc>
      </w:tr>
      <w:tr>
        <w:trPr>
          <w:cantSplit w:val="0"/>
          <w:trHeight w:val="54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101">
            <w:pPr>
              <w:widowControl w:val="0"/>
              <w:numPr>
                <w:ilvl w:val="1"/>
                <w:numId w:val="4"/>
              </w:numPr>
              <w:ind w:left="0" w:firstLine="0"/>
              <w:rPr/>
            </w:pPr>
            <w:r w:rsidDel="00000000" w:rsidR="00000000" w:rsidRPr="00000000">
              <w:rPr>
                <w:rtl w:val="0"/>
              </w:rPr>
              <w:t xml:space="preserve">Seminar</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02">
            <w:pPr>
              <w:widowControl w:val="0"/>
              <w:rPr/>
            </w:pPr>
            <w:r w:rsidDel="00000000" w:rsidR="00000000" w:rsidRPr="00000000">
              <w:rPr>
                <w:sz w:val="20"/>
                <w:szCs w:val="20"/>
                <w:rtl w:val="0"/>
              </w:rPr>
              <w:t xml:space="preserve">Evaluare progresivă</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ind w:right="-20"/>
              <w:rPr>
                <w:sz w:val="20"/>
                <w:szCs w:val="20"/>
              </w:rPr>
            </w:pPr>
            <w:r w:rsidDel="00000000" w:rsidR="00000000" w:rsidRPr="00000000">
              <w:rPr>
                <w:sz w:val="20"/>
                <w:szCs w:val="20"/>
                <w:rtl w:val="0"/>
              </w:rPr>
              <w:t xml:space="preserve">Proiecte individuale şi de grup, </w:t>
            </w:r>
          </w:p>
          <w:p w:rsidR="00000000" w:rsidDel="00000000" w:rsidP="00000000" w:rsidRDefault="00000000" w:rsidRPr="00000000" w14:paraId="00000106">
            <w:pPr>
              <w:widowControl w:val="0"/>
              <w:rPr/>
            </w:pPr>
            <w:r w:rsidDel="00000000" w:rsidR="00000000" w:rsidRPr="00000000">
              <w:rPr>
                <w:sz w:val="20"/>
                <w:szCs w:val="20"/>
                <w:rtl w:val="0"/>
              </w:rPr>
              <w:t xml:space="preserve">recenzie articol de specialitate, participare activă</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widowControl w:val="0"/>
              <w:rPr/>
            </w:pPr>
            <w:r w:rsidDel="00000000" w:rsidR="00000000" w:rsidRPr="00000000">
              <w:rPr>
                <w:rtl w:val="0"/>
              </w:rPr>
              <w:t xml:space="preserve">40%</w:t>
            </w:r>
          </w:p>
        </w:tc>
      </w:tr>
      <w:tr>
        <w:trPr>
          <w:cantSplit w:val="0"/>
          <w:trHeight w:val="578" w:hRule="atLeast"/>
          <w:tblHeader w:val="0"/>
        </w:trPr>
        <w:tc>
          <w:tcPr>
            <w:gridSpan w:val="7"/>
            <w:tcBorders>
              <w:left w:color="000000" w:space="0" w:sz="4" w:val="single"/>
              <w:bottom w:color="000000" w:space="0" w:sz="4" w:val="single"/>
            </w:tcBorders>
            <w:shd w:fill="auto" w:val="clear"/>
          </w:tcPr>
          <w:p w:rsidR="00000000" w:rsidDel="00000000" w:rsidP="00000000" w:rsidRDefault="00000000" w:rsidRPr="00000000" w14:paraId="00000109">
            <w:pPr>
              <w:widowControl w:val="0"/>
              <w:numPr>
                <w:ilvl w:val="1"/>
                <w:numId w:val="4"/>
              </w:numPr>
              <w:ind w:left="0" w:firstLine="0"/>
              <w:rPr/>
            </w:pPr>
            <w:r w:rsidDel="00000000" w:rsidR="00000000" w:rsidRPr="00000000">
              <w:rPr>
                <w:rtl w:val="0"/>
              </w:rPr>
              <w:t xml:space="preserve">Standard minim de performanță: Obţinerea a minim 50% din punctajul total acordat, (60 % la proba de verificare scrisă si orala și 40% pentru activitatea de seminar).</w:t>
            </w:r>
          </w:p>
        </w:tc>
      </w:tr>
      <w:tr>
        <w:trPr>
          <w:cantSplit w:val="0"/>
          <w:tblHeader w:val="0"/>
        </w:trPr>
        <w:tc>
          <w:tcPr>
            <w:gridSpan w:val="2"/>
            <w:shd w:fill="auto" w:val="clear"/>
          </w:tcPr>
          <w:p w:rsidR="00000000" w:rsidDel="00000000" w:rsidP="00000000" w:rsidRDefault="00000000" w:rsidRPr="00000000" w14:paraId="00000110">
            <w:pPr>
              <w:widowControl w:val="0"/>
              <w:rPr>
                <w:b w:val="1"/>
              </w:rPr>
            </w:pPr>
            <w:r w:rsidDel="00000000" w:rsidR="00000000" w:rsidRPr="00000000">
              <w:rPr>
                <w:b w:val="1"/>
                <w:rtl w:val="0"/>
              </w:rPr>
              <w:t xml:space="preserve">Data completării</w:t>
            </w:r>
          </w:p>
        </w:tc>
        <w:tc>
          <w:tcPr>
            <w:gridSpan w:val="3"/>
            <w:shd w:fill="auto" w:val="clear"/>
          </w:tcPr>
          <w:p w:rsidR="00000000" w:rsidDel="00000000" w:rsidP="00000000" w:rsidRDefault="00000000" w:rsidRPr="00000000" w14:paraId="00000112">
            <w:pPr>
              <w:widowControl w:val="0"/>
              <w:rPr>
                <w:b w:val="1"/>
              </w:rPr>
            </w:pPr>
            <w:r w:rsidDel="00000000" w:rsidR="00000000" w:rsidRPr="00000000">
              <w:rPr>
                <w:b w:val="1"/>
                <w:rtl w:val="0"/>
              </w:rPr>
              <w:t xml:space="preserve">Semnătura titularului de curs</w:t>
            </w:r>
          </w:p>
        </w:tc>
        <w:tc>
          <w:tcPr>
            <w:gridSpan w:val="2"/>
            <w:shd w:fill="auto" w:val="clear"/>
          </w:tcPr>
          <w:p w:rsidR="00000000" w:rsidDel="00000000" w:rsidP="00000000" w:rsidRDefault="00000000" w:rsidRPr="00000000" w14:paraId="00000115">
            <w:pPr>
              <w:widowControl w:val="0"/>
              <w:rPr>
                <w:b w:val="1"/>
              </w:rPr>
            </w:pPr>
            <w:r w:rsidDel="00000000" w:rsidR="00000000" w:rsidRPr="00000000">
              <w:rPr>
                <w:b w:val="1"/>
                <w:rtl w:val="0"/>
              </w:rPr>
              <w:t xml:space="preserve">Semnătura titularului de seminar</w:t>
            </w:r>
          </w:p>
        </w:tc>
      </w:tr>
      <w:tr>
        <w:trPr>
          <w:cantSplit w:val="0"/>
          <w:trHeight w:val="689" w:hRule="atLeast"/>
          <w:tblHeader w:val="0"/>
        </w:trPr>
        <w:tc>
          <w:tcPr>
            <w:gridSpan w:val="2"/>
            <w:shd w:fill="auto" w:val="clear"/>
            <w:vAlign w:val="bottom"/>
          </w:tcPr>
          <w:p w:rsidR="00000000" w:rsidDel="00000000" w:rsidP="00000000" w:rsidRDefault="00000000" w:rsidRPr="00000000" w14:paraId="00000117">
            <w:pPr>
              <w:widowControl w:val="0"/>
              <w:rPr/>
            </w:pPr>
            <w:r w:rsidDel="00000000" w:rsidR="00000000" w:rsidRPr="00000000">
              <w:rPr>
                <w:rtl w:val="0"/>
              </w:rPr>
              <w:t xml:space="preserve">15 septembrie 2023</w:t>
            </w:r>
          </w:p>
        </w:tc>
        <w:tc>
          <w:tcPr>
            <w:gridSpan w:val="3"/>
            <w:shd w:fill="auto" w:val="clear"/>
            <w:vAlign w:val="bottom"/>
          </w:tcPr>
          <w:p w:rsidR="00000000" w:rsidDel="00000000" w:rsidP="00000000" w:rsidRDefault="00000000" w:rsidRPr="00000000" w14:paraId="00000119">
            <w:pPr>
              <w:widowControl w:val="0"/>
              <w:tabs>
                <w:tab w:val="left" w:leader="none" w:pos="2835"/>
              </w:tabs>
              <w:rPr/>
            </w:pPr>
            <w:r w:rsidDel="00000000" w:rsidR="00000000" w:rsidRPr="00000000">
              <w:rPr>
                <w:rtl w:val="0"/>
              </w:rPr>
            </w:r>
          </w:p>
        </w:tc>
        <w:tc>
          <w:tcPr>
            <w:gridSpan w:val="2"/>
            <w:shd w:fill="auto" w:val="clear"/>
            <w:vAlign w:val="bottom"/>
          </w:tcPr>
          <w:p w:rsidR="00000000" w:rsidDel="00000000" w:rsidP="00000000" w:rsidRDefault="00000000" w:rsidRPr="00000000" w14:paraId="0000011C">
            <w:pPr>
              <w:widowControl w:val="0"/>
              <w:tabs>
                <w:tab w:val="left" w:leader="none" w:pos="2835"/>
              </w:tabs>
              <w:rPr/>
            </w:pPr>
            <w:r w:rsidDel="00000000" w:rsidR="00000000" w:rsidRPr="00000000">
              <w:rPr>
                <w:rtl w:val="0"/>
              </w:rPr>
            </w:r>
          </w:p>
        </w:tc>
      </w:tr>
      <w:tr>
        <w:trPr>
          <w:cantSplit w:val="0"/>
          <w:trHeight w:val="675" w:hRule="atLeast"/>
          <w:tblHeader w:val="0"/>
        </w:trPr>
        <w:tc>
          <w:tcPr>
            <w:gridSpan w:val="3"/>
            <w:shd w:fill="auto" w:val="clear"/>
            <w:vAlign w:val="bottom"/>
          </w:tcPr>
          <w:p w:rsidR="00000000" w:rsidDel="00000000" w:rsidP="00000000" w:rsidRDefault="00000000" w:rsidRPr="00000000" w14:paraId="0000011E">
            <w:pPr>
              <w:widowControl w:val="0"/>
              <w:rPr>
                <w:b w:val="1"/>
              </w:rPr>
            </w:pPr>
            <w:r w:rsidDel="00000000" w:rsidR="00000000" w:rsidRPr="00000000">
              <w:rPr>
                <w:b w:val="1"/>
                <w:rtl w:val="0"/>
              </w:rPr>
              <w:t xml:space="preserve">Data avizării în departament:</w:t>
            </w:r>
          </w:p>
        </w:tc>
        <w:tc>
          <w:tcPr>
            <w:gridSpan w:val="4"/>
            <w:shd w:fill="auto" w:val="clear"/>
            <w:vAlign w:val="bottom"/>
          </w:tcPr>
          <w:p w:rsidR="00000000" w:rsidDel="00000000" w:rsidP="00000000" w:rsidRDefault="00000000" w:rsidRPr="00000000" w14:paraId="00000121">
            <w:pPr>
              <w:widowControl w:val="0"/>
              <w:rPr>
                <w:b w:val="1"/>
              </w:rPr>
            </w:pPr>
            <w:r w:rsidDel="00000000" w:rsidR="00000000" w:rsidRPr="00000000">
              <w:rPr>
                <w:b w:val="1"/>
                <w:rtl w:val="0"/>
              </w:rPr>
              <w:t xml:space="preserve">Semnătura directorului de departament:</w:t>
            </w:r>
          </w:p>
        </w:tc>
      </w:tr>
      <w:tr>
        <w:trPr>
          <w:cantSplit w:val="0"/>
          <w:trHeight w:val="802" w:hRule="atLeast"/>
          <w:tblHeader w:val="0"/>
        </w:trPr>
        <w:tc>
          <w:tcPr>
            <w:gridSpan w:val="3"/>
            <w:shd w:fill="auto" w:val="clear"/>
            <w:vAlign w:val="bottom"/>
          </w:tcPr>
          <w:p w:rsidR="00000000" w:rsidDel="00000000" w:rsidP="00000000" w:rsidRDefault="00000000" w:rsidRPr="00000000" w14:paraId="00000125">
            <w:pPr>
              <w:widowControl w:val="0"/>
              <w:tabs>
                <w:tab w:val="left" w:leader="none" w:pos="2835"/>
              </w:tabs>
              <w:rPr/>
            </w:pPr>
            <w:r w:rsidDel="00000000" w:rsidR="00000000" w:rsidRPr="00000000">
              <w:rPr>
                <w:rtl w:val="0"/>
              </w:rPr>
            </w:r>
          </w:p>
        </w:tc>
        <w:tc>
          <w:tcPr>
            <w:gridSpan w:val="4"/>
            <w:shd w:fill="auto" w:val="clear"/>
            <w:vAlign w:val="bottom"/>
          </w:tcPr>
          <w:p w:rsidR="00000000" w:rsidDel="00000000" w:rsidP="00000000" w:rsidRDefault="00000000" w:rsidRPr="00000000" w14:paraId="00000128">
            <w:pPr>
              <w:widowControl w:val="0"/>
              <w:tabs>
                <w:tab w:val="left" w:leader="none" w:pos="2835"/>
              </w:tabs>
              <w:rPr/>
            </w:pPr>
            <w:r w:rsidDel="00000000" w:rsidR="00000000" w:rsidRPr="00000000">
              <w:rPr>
                <w:rtl w:val="0"/>
              </w:rPr>
            </w:r>
          </w:p>
        </w:tc>
      </w:tr>
    </w:tbl>
    <w:p w:rsidR="00000000" w:rsidDel="00000000" w:rsidP="00000000" w:rsidRDefault="00000000" w:rsidRPr="00000000" w14:paraId="0000012C">
      <w:pPr>
        <w:rPr/>
      </w:pPr>
      <w:r w:rsidDel="00000000" w:rsidR="00000000" w:rsidRPr="00000000">
        <w:rPr>
          <w:rtl w:val="0"/>
        </w:rPr>
      </w:r>
    </w:p>
    <w:sectPr>
      <w:pgSz w:h="16838" w:w="11906" w:orient="portrait"/>
      <w:pgMar w:bottom="1134"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0" w:firstLine="0"/>
      </w:pPr>
      <w:rPr/>
    </w:lvl>
    <w:lvl w:ilvl="1">
      <w:start w:val="1"/>
      <w:numFmt w:val="decimal"/>
      <w:lvlText w:val="%2."/>
      <w:lvlJc w:val="left"/>
      <w:pPr>
        <w:ind w:left="1151" w:hanging="397.0000000000001"/>
      </w:pPr>
      <w:rPr/>
    </w:lvl>
    <w:lvl w:ilvl="2">
      <w:start w:val="1"/>
      <w:numFmt w:val="decimal"/>
      <w:lvlText w:val="%3."/>
      <w:lvlJc w:val="left"/>
      <w:pPr>
        <w:ind w:left="1548" w:hanging="397"/>
      </w:pPr>
      <w:rPr/>
    </w:lvl>
    <w:lvl w:ilvl="3">
      <w:start w:val="1"/>
      <w:numFmt w:val="decimal"/>
      <w:lvlText w:val="%4."/>
      <w:lvlJc w:val="left"/>
      <w:pPr>
        <w:ind w:left="1945" w:hanging="397"/>
      </w:pPr>
      <w:rPr/>
    </w:lvl>
    <w:lvl w:ilvl="4">
      <w:start w:val="1"/>
      <w:numFmt w:val="decimal"/>
      <w:lvlText w:val="%5."/>
      <w:lvlJc w:val="left"/>
      <w:pPr>
        <w:ind w:left="2342" w:hanging="397"/>
      </w:pPr>
      <w:rPr/>
    </w:lvl>
    <w:lvl w:ilvl="5">
      <w:start w:val="1"/>
      <w:numFmt w:val="decimal"/>
      <w:lvlText w:val="%6."/>
      <w:lvlJc w:val="left"/>
      <w:pPr>
        <w:ind w:left="2738" w:hanging="397"/>
      </w:pPr>
      <w:rPr/>
    </w:lvl>
    <w:lvl w:ilvl="6">
      <w:start w:val="1"/>
      <w:numFmt w:val="decimal"/>
      <w:lvlText w:val="%7."/>
      <w:lvlJc w:val="left"/>
      <w:pPr>
        <w:ind w:left="3135" w:hanging="397"/>
      </w:pPr>
      <w:rPr/>
    </w:lvl>
    <w:lvl w:ilvl="7">
      <w:start w:val="1"/>
      <w:numFmt w:val="decimal"/>
      <w:lvlText w:val="%8."/>
      <w:lvlJc w:val="left"/>
      <w:pPr>
        <w:ind w:left="3532" w:hanging="397"/>
      </w:pPr>
      <w:rPr/>
    </w:lvl>
    <w:lvl w:ilvl="8">
      <w:start w:val="1"/>
      <w:numFmt w:val="decimal"/>
      <w:lvlText w:val="%9."/>
      <w:lvlJc w:val="left"/>
      <w:pPr>
        <w:ind w:left="3929" w:hanging="397"/>
      </w:pPr>
      <w:rPr/>
    </w:lvl>
  </w:abstractNum>
  <w:abstractNum w:abstractNumId="4">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 %1.%2.%3 "/>
      <w:lvlJc w:val="left"/>
      <w:pPr>
        <w:ind w:left="1440" w:hanging="360"/>
      </w:pPr>
      <w:rPr/>
    </w:lvl>
    <w:lvl w:ilvl="3">
      <w:start w:val="1"/>
      <w:numFmt w:val="decimal"/>
      <w:lvlText w:val=" %1.%2.%3.%4 "/>
      <w:lvlJc w:val="left"/>
      <w:pPr>
        <w:ind w:left="1800" w:hanging="360"/>
      </w:pPr>
      <w:rPr/>
    </w:lvl>
    <w:lvl w:ilvl="4">
      <w:start w:val="1"/>
      <w:numFmt w:val="decimal"/>
      <w:lvlText w:val=" %1.%2.%3.%4.%5 "/>
      <w:lvlJc w:val="left"/>
      <w:pPr>
        <w:ind w:left="2160" w:hanging="360"/>
      </w:pPr>
      <w:rPr/>
    </w:lvl>
    <w:lvl w:ilvl="5">
      <w:start w:val="1"/>
      <w:numFmt w:val="decimal"/>
      <w:lvlText w:val=" %1.%2.%3.%4.%5.%6 "/>
      <w:lvlJc w:val="left"/>
      <w:pPr>
        <w:ind w:left="2520" w:hanging="360"/>
      </w:pPr>
      <w:rPr/>
    </w:lvl>
    <w:lvl w:ilvl="6">
      <w:start w:val="1"/>
      <w:numFmt w:val="decimal"/>
      <w:lvlText w:val=" %1.%2.%3.%4.%5.%6.%7 "/>
      <w:lvlJc w:val="left"/>
      <w:pPr>
        <w:ind w:left="2880" w:hanging="360"/>
      </w:pPr>
      <w:rPr/>
    </w:lvl>
    <w:lvl w:ilvl="7">
      <w:start w:val="1"/>
      <w:numFmt w:val="decimal"/>
      <w:lvlText w:val=" %1.%2.%3.%4.%5.%6.%7.%8 "/>
      <w:lvlJc w:val="left"/>
      <w:pPr>
        <w:ind w:left="3240" w:hanging="360"/>
      </w:pPr>
      <w:rPr/>
    </w:lvl>
    <w:lvl w:ilvl="8">
      <w:start w:val="1"/>
      <w:numFmt w:val="decimal"/>
      <w:lvlText w:val=" %1.%2.%3.%4.%5.%6.%7.%8.%9 "/>
      <w:lvlJc w:val="left"/>
      <w:pPr>
        <w:ind w:left="360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151" w:hanging="397.0000000000001"/>
      </w:pPr>
      <w:rPr/>
    </w:lvl>
    <w:lvl w:ilvl="2">
      <w:start w:val="1"/>
      <w:numFmt w:val="decimal"/>
      <w:lvlText w:val="%3."/>
      <w:lvlJc w:val="left"/>
      <w:pPr>
        <w:ind w:left="1548" w:hanging="397"/>
      </w:pPr>
      <w:rPr/>
    </w:lvl>
    <w:lvl w:ilvl="3">
      <w:start w:val="1"/>
      <w:numFmt w:val="decimal"/>
      <w:lvlText w:val="%4."/>
      <w:lvlJc w:val="left"/>
      <w:pPr>
        <w:ind w:left="1945" w:hanging="397"/>
      </w:pPr>
      <w:rPr/>
    </w:lvl>
    <w:lvl w:ilvl="4">
      <w:start w:val="1"/>
      <w:numFmt w:val="decimal"/>
      <w:lvlText w:val="%5."/>
      <w:lvlJc w:val="left"/>
      <w:pPr>
        <w:ind w:left="2342" w:hanging="397"/>
      </w:pPr>
      <w:rPr/>
    </w:lvl>
    <w:lvl w:ilvl="5">
      <w:start w:val="1"/>
      <w:numFmt w:val="decimal"/>
      <w:lvlText w:val="%6."/>
      <w:lvlJc w:val="left"/>
      <w:pPr>
        <w:ind w:left="2738" w:hanging="397"/>
      </w:pPr>
      <w:rPr/>
    </w:lvl>
    <w:lvl w:ilvl="6">
      <w:start w:val="1"/>
      <w:numFmt w:val="decimal"/>
      <w:lvlText w:val="%7."/>
      <w:lvlJc w:val="left"/>
      <w:pPr>
        <w:ind w:left="3135" w:hanging="397"/>
      </w:pPr>
      <w:rPr/>
    </w:lvl>
    <w:lvl w:ilvl="7">
      <w:start w:val="1"/>
      <w:numFmt w:val="decimal"/>
      <w:lvlText w:val="%8."/>
      <w:lvlJc w:val="left"/>
      <w:pPr>
        <w:ind w:left="3532" w:hanging="397"/>
      </w:pPr>
      <w:rPr/>
    </w:lvl>
    <w:lvl w:ilvl="8">
      <w:start w:val="1"/>
      <w:numFmt w:val="decimal"/>
      <w:lvlText w:val="%9."/>
      <w:lvlJc w:val="left"/>
      <w:pPr>
        <w:ind w:left="3929" w:hanging="397"/>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28.0" w:type="dxa"/>
        <w:bottom w:w="28.0" w:type="dxa"/>
        <w:right w:w="28.0" w:type="dxa"/>
      </w:tblCellMar>
    </w:tblPr>
  </w:style>
  <w:style w:type="table" w:styleId="Table2">
    <w:basedOn w:val="TableNormal"/>
    <w:tblPr>
      <w:tblStyleRowBandSize w:val="1"/>
      <w:tblStyleColBandSize w:val="1"/>
      <w:tblCellMar>
        <w:top w:w="28.0" w:type="dxa"/>
        <w:left w:w="28.0" w:type="dxa"/>
        <w:bottom w:w="28.0" w:type="dxa"/>
        <w:right w:w="28.0" w:type="dxa"/>
      </w:tblCellMar>
    </w:tblPr>
  </w:style>
  <w:style w:type="table" w:styleId="Table3">
    <w:basedOn w:val="TableNormal"/>
    <w:tblPr>
      <w:tblStyleRowBandSize w:val="1"/>
      <w:tblStyleColBandSize w:val="1"/>
      <w:tblCellMar>
        <w:top w:w="28.0" w:type="dxa"/>
        <w:left w:w="28.0" w:type="dxa"/>
        <w:bottom w:w="28.0" w:type="dxa"/>
        <w:right w:w="28.0" w:type="dxa"/>
      </w:tblCellMar>
    </w:tblPr>
  </w:style>
  <w:style w:type="table" w:styleId="Table4">
    <w:basedOn w:val="TableNormal"/>
    <w:tblPr>
      <w:tblStyleRowBandSize w:val="1"/>
      <w:tblStyleColBandSize w:val="1"/>
      <w:tblCellMar>
        <w:top w:w="28.0" w:type="dxa"/>
        <w:left w:w="28.0" w:type="dxa"/>
        <w:bottom w:w="28.0" w:type="dxa"/>
        <w:right w:w="28.0" w:type="dxa"/>
      </w:tblCellMar>
    </w:tblPr>
  </w:style>
  <w:style w:type="table" w:styleId="Table5">
    <w:basedOn w:val="TableNormal"/>
    <w:tblPr>
      <w:tblStyleRowBandSize w:val="1"/>
      <w:tblStyleColBandSize w:val="1"/>
      <w:tblCellMar>
        <w:top w:w="28.0" w:type="dxa"/>
        <w:left w:w="28.0" w:type="dxa"/>
        <w:bottom w:w="28.0" w:type="dxa"/>
        <w:right w:w="28.0" w:type="dxa"/>
      </w:tblCellMar>
    </w:tblPr>
  </w:style>
  <w:style w:type="table" w:styleId="Table6">
    <w:basedOn w:val="TableNormal"/>
    <w:tblPr>
      <w:tblStyleRowBandSize w:val="1"/>
      <w:tblStyleColBandSize w:val="1"/>
      <w:tblCellMar>
        <w:top w:w="28.0" w:type="dxa"/>
        <w:left w:w="28.0" w:type="dxa"/>
        <w:bottom w:w="28.0" w:type="dxa"/>
        <w:right w:w="28.0" w:type="dxa"/>
      </w:tblCellMar>
    </w:tblPr>
  </w:style>
  <w:style w:type="table" w:styleId="Table7">
    <w:basedOn w:val="TableNormal"/>
    <w:tblPr>
      <w:tblStyleRowBandSize w:val="1"/>
      <w:tblStyleColBandSize w:val="1"/>
      <w:tblCellMar>
        <w:top w:w="11.0" w:type="dxa"/>
        <w:left w:w="11.0" w:type="dxa"/>
        <w:bottom w:w="11.0" w:type="dxa"/>
        <w:right w:w="11.0" w:type="dxa"/>
      </w:tblCellMar>
    </w:tblPr>
  </w:style>
  <w:style w:type="table" w:styleId="Table8">
    <w:basedOn w:val="TableNormal"/>
    <w:tblPr>
      <w:tblStyleRowBandSize w:val="1"/>
      <w:tblStyleColBandSize w:val="1"/>
      <w:tblCellMar>
        <w:top w:w="0.0" w:type="dxa"/>
        <w:left w:w="5.0" w:type="dxa"/>
        <w:bottom w:w="0.0" w:type="dxa"/>
        <w:right w:w="0.0" w:type="dxa"/>
      </w:tblCellMar>
    </w:tblPr>
  </w:style>
  <w:style w:type="table" w:styleId="Table9">
    <w:basedOn w:val="TableNormal"/>
    <w:tblPr>
      <w:tblStyleRowBandSize w:val="1"/>
      <w:tblStyleColBandSize w:val="1"/>
      <w:tblCellMar>
        <w:top w:w="28.0" w:type="dxa"/>
        <w:left w:w="28.0" w:type="dxa"/>
        <w:bottom w:w="28.0" w:type="dxa"/>
        <w:right w:w="28.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IAPXtzaFWgROvcaBTBcxOeEaA==">AMUW2mWAK6VntjsBdGnitmBfXy2v8sE4qocA0EKWr1vnUq9mEs2ivi5UZTqBtggewWUZLN9McAtAHGRIn9nkNaMZi6lvPl5yAz9rnK9DHa8ccZe1rwvSYKY=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