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fișa disciplinei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program</w:t>
      </w:r>
    </w:p>
    <w:tbl>
      <w:tblPr>
        <w:tblStyle w:val="Table1"/>
        <w:tblW w:w="9638.0" w:type="dxa"/>
        <w:jc w:val="left"/>
        <w:tblLayout w:type="fixed"/>
        <w:tblLook w:val="0400"/>
      </w:tblPr>
      <w:tblGrid>
        <w:gridCol w:w="3812"/>
        <w:gridCol w:w="5826"/>
        <w:tblGridChange w:id="0">
          <w:tblGrid>
            <w:gridCol w:w="3812"/>
            <w:gridCol w:w="582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de învățământ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Universitatea Creștină Partium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 de Științe Economice și Sociale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Domeniul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Programul de studii/Calificarea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disciplină</w:t>
      </w:r>
    </w:p>
    <w:tbl>
      <w:tblPr>
        <w:tblStyle w:val="Table2"/>
        <w:tblW w:w="9638.0" w:type="dxa"/>
        <w:jc w:val="left"/>
        <w:tblLayout w:type="fixed"/>
        <w:tblLook w:val="0400"/>
      </w:tblPr>
      <w:tblGrid>
        <w:gridCol w:w="3803"/>
        <w:gridCol w:w="5835"/>
        <w:tblGridChange w:id="0">
          <w:tblGrid>
            <w:gridCol w:w="3803"/>
            <w:gridCol w:w="58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Turism de afaceri şi evenimente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(ECTS 3113)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Conf. Univ. Dr. Molnar Elisabeta Ilona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seminar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Asist. Univ. Dr. Czuczor Krisztina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Anul de studiu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Tipul de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Regimul disciplinei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DS</w:t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Timpul total estimat</w:t>
      </w:r>
    </w:p>
    <w:tbl>
      <w:tblPr>
        <w:tblStyle w:val="Table3"/>
        <w:tblW w:w="9638.0" w:type="dxa"/>
        <w:jc w:val="left"/>
        <w:tblLayout w:type="fixed"/>
        <w:tblLook w:val="0400"/>
      </w:tblPr>
      <w:tblGrid>
        <w:gridCol w:w="3799"/>
        <w:gridCol w:w="954"/>
        <w:gridCol w:w="1475"/>
        <w:gridCol w:w="568"/>
        <w:gridCol w:w="2156"/>
        <w:gridCol w:w="686"/>
        <w:tblGridChange w:id="0">
          <w:tblGrid>
            <w:gridCol w:w="3799"/>
            <w:gridCol w:w="954"/>
            <w:gridCol w:w="1475"/>
            <w:gridCol w:w="568"/>
            <w:gridCol w:w="2156"/>
            <w:gridCol w:w="68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Număr de ore pe săptămână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ore din planul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Distribuția fondului de timp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Studiul după manual, suport de curs, bibliografie și notițe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Documentare suplimentară în bibliotecă, pe platforme electronice de specialitate și pe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Pregătire seminarii/laboratoare, teme, referate, portofolii și eseuri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activități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studiu individual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pe semestru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credite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Precondiții (unde este cazul)</w:t>
      </w:r>
    </w:p>
    <w:tbl>
      <w:tblPr>
        <w:tblStyle w:val="Table4"/>
        <w:tblW w:w="9641.0" w:type="dxa"/>
        <w:jc w:val="left"/>
        <w:tblInd w:w="5.0" w:type="dxa"/>
        <w:tblLayout w:type="fixed"/>
        <w:tblLook w:val="0400"/>
      </w:tblPr>
      <w:tblGrid>
        <w:gridCol w:w="2150"/>
        <w:gridCol w:w="7491"/>
        <w:tblGridChange w:id="0">
          <w:tblGrid>
            <w:gridCol w:w="2150"/>
            <w:gridCol w:w="749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competențe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Condiții (acolo unde este cazul)</w:t>
      </w:r>
    </w:p>
    <w:tbl>
      <w:tblPr>
        <w:tblStyle w:val="Table5"/>
        <w:tblW w:w="9641.0" w:type="dxa"/>
        <w:jc w:val="left"/>
        <w:tblInd w:w="5.0" w:type="dxa"/>
        <w:tblLayout w:type="fixed"/>
        <w:tblLook w:val="0400"/>
      </w:tblPr>
      <w:tblGrid>
        <w:gridCol w:w="4592"/>
        <w:gridCol w:w="5049"/>
        <w:tblGridChange w:id="0">
          <w:tblGrid>
            <w:gridCol w:w="4592"/>
            <w:gridCol w:w="504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seminarului/laboratorului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internet,teren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Competențe specifice acumulate</w:t>
      </w:r>
    </w:p>
    <w:tbl>
      <w:tblPr>
        <w:tblStyle w:val="Table6"/>
        <w:tblW w:w="9638.0" w:type="dxa"/>
        <w:jc w:val="left"/>
        <w:tblLayout w:type="fixed"/>
        <w:tblLook w:val="0400"/>
      </w:tblPr>
      <w:tblGrid>
        <w:gridCol w:w="1703"/>
        <w:gridCol w:w="7935"/>
        <w:tblGridChange w:id="0">
          <w:tblGrid>
            <w:gridCol w:w="1703"/>
            <w:gridCol w:w="79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C1.3</w:t>
            </w:r>
            <w:r w:rsidDel="00000000" w:rsidR="00000000" w:rsidRPr="00000000">
              <w:rPr>
                <w:rtl w:val="0"/>
              </w:rPr>
              <w:t xml:space="preserve"> Rezolvarea problemelor în contexte bine definite asociate: conceperii, planificării și executării de activități în cadrul firmelor de comerț, turism și servicii.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C1.4</w:t>
            </w:r>
            <w:r w:rsidDel="00000000" w:rsidR="00000000" w:rsidRPr="00000000">
              <w:rPr>
                <w:rtl w:val="0"/>
              </w:rPr>
              <w:t xml:space="preserve"> Culegerea și prelucrarea de date din surse documentare alternative și din activitatea curentă, pentru evaluarea factorilor care influențează realizarea prestațiilor în organizațiile din comerț, turism și servicii.</w:t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C2.1</w:t>
            </w:r>
            <w:r w:rsidDel="00000000" w:rsidR="00000000" w:rsidRPr="00000000">
              <w:rPr>
                <w:rtl w:val="0"/>
              </w:rPr>
              <w:t xml:space="preserve"> Descrierea modalităților de concepere a produsului turistic, a tehnicilor de comercializare și a comportamentului agenților economici în contextul creat de legislația și regulamente aferente în vigoare.</w:t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C2.2</w:t>
            </w:r>
            <w:r w:rsidDel="00000000" w:rsidR="00000000" w:rsidRPr="00000000">
              <w:rPr>
                <w:rtl w:val="0"/>
              </w:rPr>
              <w:t xml:space="preserve"> Explicarea și interpretarea fluxurilor și a tehnicilor de comercializare diferențiat după natura produselor și serviciilor.</w:t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C3.2</w:t>
            </w:r>
            <w:r w:rsidDel="00000000" w:rsidR="00000000" w:rsidRPr="00000000">
              <w:rPr>
                <w:rtl w:val="0"/>
              </w:rPr>
              <w:t xml:space="preserve"> Explicarea și interpretarea fenomenelor și proceselor economice specifice comerțului, turismului și serviciilor pe baza conceptelor privind cererea și oferta de servicii și a comportamentului consumatorilor.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C4.3</w:t>
            </w:r>
            <w:r w:rsidDel="00000000" w:rsidR="00000000" w:rsidRPr="00000000">
              <w:rPr>
                <w:rtl w:val="0"/>
              </w:rPr>
              <w:t xml:space="preserve"> Elaborarea de calcule pentru diferite situații alternative (variante decizionale) în alocarea resurselor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transversale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CT.1</w:t>
            </w:r>
            <w:r w:rsidDel="00000000" w:rsidR="00000000" w:rsidRPr="00000000">
              <w:rPr>
                <w:rtl w:val="0"/>
              </w:rPr>
              <w:t xml:space="preserve"> Aplicarea principiilor, normelor şi valorilor  de etică profesională în cadrul propriei strategii de muncă riguroasă, eficientă şi responsabilă.</w:t>
            </w:r>
          </w:p>
          <w:p w:rsidR="00000000" w:rsidDel="00000000" w:rsidP="00000000" w:rsidRDefault="00000000" w:rsidRPr="00000000" w14:paraId="0000007B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CT.2</w:t>
            </w:r>
            <w:r w:rsidDel="00000000" w:rsidR="00000000" w:rsidRPr="00000000">
              <w:rPr>
                <w:rtl w:val="0"/>
              </w:rPr>
              <w:t xml:space="preserve"> Identificarea rolurilor şi responsabilităţilor într-o echipă plurispecializată şi aplicarea de tehnici de relaţionare şi muncă eficientă în cadrul echipei.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Identificarea oportunităţilor de formare continuă şi valorificarea eficientă a resurselor şi tehnicilor de învăţare pentru propria dezvoltare</w:t>
            </w:r>
          </w:p>
        </w:tc>
      </w:tr>
    </w:tbl>
    <w:p w:rsidR="00000000" w:rsidDel="00000000" w:rsidP="00000000" w:rsidRDefault="00000000" w:rsidRPr="00000000" w14:paraId="0000007D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disciplinei (reieșind din grila competențelor specifice acumulate)</w:t>
      </w:r>
    </w:p>
    <w:tbl>
      <w:tblPr>
        <w:tblStyle w:val="Table7"/>
        <w:tblW w:w="9641.0" w:type="dxa"/>
        <w:jc w:val="left"/>
        <w:tblInd w:w="5.0" w:type="dxa"/>
        <w:tblLayout w:type="fixed"/>
        <w:tblLook w:val="0400"/>
      </w:tblPr>
      <w:tblGrid>
        <w:gridCol w:w="1703"/>
        <w:gridCol w:w="7938"/>
        <w:tblGridChange w:id="0">
          <w:tblGrid>
            <w:gridCol w:w="1703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Obiectivul general al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•Cunoasterea şi întelegerea  rolului  turismului de afaceri  în sectorul industriei  ospitalităţii.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•Cunoasterea şi întelegerea  rolului  organizarii de evenimente   în sectorul hotelier si restaurante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•Abordarea pragmatică a activităţilor de prestare propriu-zisă a serviciilor in domeniul turismului de afaceri si organizare de evenimente.Cunoaşterea, înţelegerea şi operarea  cu metode specifice pentru realizarea obiectivelor propuse.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Obiectivele specifice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•Cunoașterea și înțelegerea diferitelor concepte specifice turismului de afaceri si organizarii de evenimente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•Identificarea conceptelor legate de planificarea, organizarea, coordonarea şi controlul activităţii de organizarea evenimentelor.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•Respectarea normelor de deontologie profesională, fundamentate pe opţiuni valorice explicite,  specifice specialistului în industria ospitalitatii.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•Pregatirea teoretică şi practică a studenţilor, în domeniul turismului de afaceri si in organizare de evenimente, în acord cu  standardele europene impuse în acest domeniu , pentru a fi competitivi pe piaţa muncii în sectorul turistic din România şi din străinatate</w:t>
            </w:r>
          </w:p>
        </w:tc>
      </w:tr>
    </w:tbl>
    <w:p w:rsidR="00000000" w:rsidDel="00000000" w:rsidP="00000000" w:rsidRDefault="00000000" w:rsidRPr="00000000" w14:paraId="00000088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Conținuturi</w:t>
      </w:r>
    </w:p>
    <w:tbl>
      <w:tblPr>
        <w:tblStyle w:val="Table8"/>
        <w:tblW w:w="9641.0" w:type="dxa"/>
        <w:jc w:val="left"/>
        <w:tblInd w:w="5.0" w:type="dxa"/>
        <w:tblLayout w:type="fixed"/>
        <w:tblLook w:val="0400"/>
      </w:tblPr>
      <w:tblGrid>
        <w:gridCol w:w="5392"/>
        <w:gridCol w:w="2933"/>
        <w:gridCol w:w="1316"/>
        <w:tblGridChange w:id="0">
          <w:tblGrid>
            <w:gridCol w:w="5392"/>
            <w:gridCol w:w="2933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Turism de afaceri şi evenimente – aspecte generale, caracteristici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Dezvoltarea turismului de afaceri şi eventimente în contextul globalizării.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Rolul organizării evenimentelor în industria ospitalităţii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Piaţa turismului de afaceri şi reuniuni.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evenimentelor, consideraţii specifice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Evenimente :Congrese -Conferinţe- Team building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Evenimente : Training – Seminarii - Banqueting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Evenimente : Târguri şi expoziţii, festivaluri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Târguri, expoziţii, festivaluri  naţionale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Târgurile şi expozitiile internaţionale ( comparaţii, specifice de turism)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Planificarea unui eveniment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Planificare operaţională şi bugetară.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Decontarea evenimentelor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Trenduri in turismul de afaceri si evenimente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Reglementări legislative şi financiar- contabile privind organizarea de evenimente.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 de afaceri şi evenimente – aspecte generale, caracteristici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Turismului de afaceri şi eventimente în contextul  unor  sectoare economice 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Piaţa turismului de afaceri şi reuniuni. Cerere şi ofertă.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evenimentelor 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Identificarea unor evenimente importante la nivel naţional şi internaţional,  Congrese -Conferinţe , etc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Training – Seminarii - Banqueting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caz,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Identificarea unor târguri si expozitii  naţionale de importanţă majoră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Identificarea unor târguri si expozitii  intenaţionale de importanţă majoră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Festivaluri naţionale şi internaţionale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Planificarea unui eveniment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Planificare operaţională şi bugetară.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Decontarea evenimentelor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 proiecte în echipă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 proiecte în echipă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obligatorie</w:t>
            </w:r>
          </w:p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Tema 1-14  Materialul prezentat la curs si seminar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 Az incentive rendezveny szervezese, Kereskedelmi, Vendeglatoipari és Idegenforgalmi Főiskola,  Idegenforgalmi Tanszek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Chiriac A. Crina, Asistenţă turistică în organizarea de evenimente , THR-CG, Bucuresti, 2004</w:t>
            </w:r>
          </w:p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facultativă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https://www.iccaworld.org/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F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Table9"/>
        <w:tblW w:w="9638.0" w:type="dxa"/>
        <w:jc w:val="left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:rsidR="00000000" w:rsidDel="00000000" w:rsidP="00000000" w:rsidRDefault="00000000" w:rsidRPr="00000000" w14:paraId="000000F1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Evaluare</w:t>
      </w:r>
    </w:p>
    <w:tbl>
      <w:tblPr>
        <w:tblStyle w:val="Table10"/>
        <w:tblW w:w="9638.0" w:type="dxa"/>
        <w:jc w:val="left"/>
        <w:tblLayout w:type="fixed"/>
        <w:tblLook w:val="0400"/>
      </w:tblPr>
      <w:tblGrid>
        <w:gridCol w:w="1586"/>
        <w:gridCol w:w="963"/>
        <w:gridCol w:w="1869"/>
        <w:gridCol w:w="517"/>
        <w:gridCol w:w="963"/>
        <w:gridCol w:w="2090"/>
        <w:gridCol w:w="1650"/>
        <w:tblGridChange w:id="0">
          <w:tblGrid>
            <w:gridCol w:w="1586"/>
            <w:gridCol w:w="963"/>
            <w:gridCol w:w="1869"/>
            <w:gridCol w:w="517"/>
            <w:gridCol w:w="963"/>
            <w:gridCol w:w="2090"/>
            <w:gridCol w:w="165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activitate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Criterii de evaluare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Pondere din nota finală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sumativă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Examen scris si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progresivă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Proiecte individuale şi de grup, </w:t>
            </w:r>
          </w:p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recenzie articol de specialitate, participare activă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Standard minim de performanță: Obţinerea a minim 50% din punctajul total acordat, (60 % la proba de verificare scrisă si orala și 40% pentru activitatea de seminar).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completării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curs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 septembrie 2023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avizării în departament: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directorului de departament: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 %1.%2.%3 "/>
      <w:lvlJc w:val="left"/>
      <w:pPr>
        <w:ind w:left="1440" w:hanging="360"/>
      </w:pPr>
      <w:rPr/>
    </w:lvl>
    <w:lvl w:ilvl="3">
      <w:start w:val="1"/>
      <w:numFmt w:val="decimal"/>
      <w:lvlText w:val=" %1.%2.%3.%4 "/>
      <w:lvlJc w:val="left"/>
      <w:pPr>
        <w:ind w:left="1800" w:hanging="360"/>
      </w:pPr>
      <w:rPr/>
    </w:lvl>
    <w:lvl w:ilvl="4">
      <w:start w:val="1"/>
      <w:numFmt w:val="decimal"/>
      <w:lvlText w:val=" %1.%2.%3.%4.%5 "/>
      <w:lvlJc w:val="left"/>
      <w:pPr>
        <w:ind w:left="2160" w:hanging="360"/>
      </w:pPr>
      <w:rPr/>
    </w:lvl>
    <w:lvl w:ilvl="5">
      <w:start w:val="1"/>
      <w:numFmt w:val="decimal"/>
      <w:lvlText w:val=" %1.%2.%3.%4.%5.%6 "/>
      <w:lvlJc w:val="left"/>
      <w:pPr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.0" w:type="dxa"/>
        <w:left w:w="11.0" w:type="dxa"/>
        <w:bottom w:w="11.0" w:type="dxa"/>
        <w:right w:w="1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ccaworld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81lzlzTSDJrUfzsDAxahOcc7uw==">AMUW2mWvHUQSR3uKOkG6tJcJ1pv1RNsmmF4eMVcdh3mxwFcwSkbN1llm8Kg+JggmRP+CZmtmbOhe/pdSAE9ccdU3MMTwUaTtYWsZwag0dlYV7jhz8FbsPog=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