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8" w:line="353" w:lineRule="auto"/>
        <w:ind w:left="3884" w:right="3866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FIŞA DISCIPLINEI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7" w:line="12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program</w:t>
      </w:r>
    </w:p>
    <w:tbl>
      <w:tblPr>
        <w:tblStyle w:val="Table1"/>
        <w:tblW w:w="10392.0" w:type="dxa"/>
        <w:jc w:val="left"/>
        <w:tblLayout w:type="fixed"/>
        <w:tblLook w:val="0000"/>
      </w:tblPr>
      <w:tblGrid>
        <w:gridCol w:w="3870"/>
        <w:gridCol w:w="6522"/>
        <w:tblGridChange w:id="0">
          <w:tblGrid>
            <w:gridCol w:w="3870"/>
            <w:gridCol w:w="652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 Instituţia de învăţământ 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Univertitatea Creştina Partium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1.2 Facultatea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Ştiinţe Economice și Sociale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 Departamentul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Economie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1.4 Domeniul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Administrarea Afacerilor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 Ciclul de studii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Licență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1.6 Programul de studii/Calificarea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Economia Comerțului, Serviciilor și Turismului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11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Date despre disciplină</w:t>
      </w:r>
    </w:p>
    <w:tbl>
      <w:tblPr>
        <w:tblStyle w:val="Table2"/>
        <w:tblW w:w="10392.0" w:type="dxa"/>
        <w:jc w:val="left"/>
        <w:tblLayout w:type="fixed"/>
        <w:tblLook w:val="0000"/>
      </w:tblPr>
      <w:tblGrid>
        <w:gridCol w:w="3826"/>
        <w:gridCol w:w="6566"/>
        <w:tblGridChange w:id="0">
          <w:tblGrid>
            <w:gridCol w:w="3826"/>
            <w:gridCol w:w="6566"/>
          </w:tblGrid>
        </w:tblGridChange>
      </w:tblGrid>
      <w:tr>
        <w:trPr>
          <w:cantSplit w:val="0"/>
          <w:trHeight w:val="6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Denumirea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Introducere in modelarea fenomenelor economico-sociale (ECTS2207)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Titularul activităţii de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conf. univ. dr. Tarnóczi Tibor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 Titularul activităţii de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conf. univ. dr. Tarnóczi Tibor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Anul de studiu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 Semestrul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 Tipul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Colocviul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 Regimul disciplinei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DS</w:t>
            </w:r>
          </w:p>
        </w:tc>
      </w:tr>
    </w:tbl>
    <w:p w:rsidR="00000000" w:rsidDel="00000000" w:rsidP="00000000" w:rsidRDefault="00000000" w:rsidRPr="00000000" w14:paraId="00000022">
      <w:pPr>
        <w:spacing w:after="0"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Timpul total estimat</w:t>
      </w:r>
    </w:p>
    <w:tbl>
      <w:tblPr>
        <w:tblStyle w:val="Table3"/>
        <w:tblW w:w="10392.0" w:type="dxa"/>
        <w:jc w:val="left"/>
        <w:tblLayout w:type="fixed"/>
        <w:tblLook w:val="0000"/>
      </w:tblPr>
      <w:tblGrid>
        <w:gridCol w:w="4011"/>
        <w:gridCol w:w="721"/>
        <w:gridCol w:w="1881"/>
        <w:gridCol w:w="723"/>
        <w:gridCol w:w="2322"/>
        <w:gridCol w:w="734"/>
        <w:tblGridChange w:id="0">
          <w:tblGrid>
            <w:gridCol w:w="4011"/>
            <w:gridCol w:w="721"/>
            <w:gridCol w:w="1881"/>
            <w:gridCol w:w="723"/>
            <w:gridCol w:w="2322"/>
            <w:gridCol w:w="734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 Număr de ore pe săptămână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 care 3.2curs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 Total ore din planul de învăţământ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 care 3.5curs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 seminar/laborator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Distribuţia fondului de timp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69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ore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Studiul după manual, support de curs, bibliografie şi notiţe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22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Documentare suplimentară în bibliotecă, pe platforme electronice de specialitate şi pe teren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Pregătire seminarii/laboratoare, teme, referate, portofolii şi eseuri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16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Tutoriat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6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Examinări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67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8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69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Alte activităţi…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3.7 Total ore studiu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3.8 Total ore pesemestru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3.9 Numărul de credite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72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C">
      <w:pPr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Precondiţii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6E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92.0" w:type="dxa"/>
        <w:jc w:val="left"/>
        <w:tblLayout w:type="fixed"/>
        <w:tblLook w:val="0000"/>
      </w:tblPr>
      <w:tblGrid>
        <w:gridCol w:w="2135"/>
        <w:gridCol w:w="8257"/>
        <w:tblGridChange w:id="0">
          <w:tblGrid>
            <w:gridCol w:w="2135"/>
            <w:gridCol w:w="8257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4.1 de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 de competenţe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3">
      <w:pPr>
        <w:spacing w:after="0" w:before="18" w:line="2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Condiţii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(acolo unde este cazul)</w:t>
      </w:r>
    </w:p>
    <w:p w:rsidR="00000000" w:rsidDel="00000000" w:rsidP="00000000" w:rsidRDefault="00000000" w:rsidRPr="00000000" w14:paraId="00000075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92.0" w:type="dxa"/>
        <w:jc w:val="left"/>
        <w:tblLayout w:type="fixed"/>
        <w:tblLook w:val="0000"/>
      </w:tblPr>
      <w:tblGrid>
        <w:gridCol w:w="5026"/>
        <w:gridCol w:w="5366"/>
        <w:tblGridChange w:id="0">
          <w:tblGrid>
            <w:gridCol w:w="5026"/>
            <w:gridCol w:w="5366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5.1 de desfăşurare a cursului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Sală de curs dotat cu proiector 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 de desfăşurare a seminarului/laboratorului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Laborator calculatoare</w:t>
            </w:r>
          </w:p>
        </w:tc>
      </w:tr>
    </w:tbl>
    <w:p w:rsidR="00000000" w:rsidDel="00000000" w:rsidP="00000000" w:rsidRDefault="00000000" w:rsidRPr="00000000" w14:paraId="0000007A">
      <w:pPr>
        <w:spacing w:after="0" w:before="12" w:lin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44" w:line="240" w:lineRule="auto"/>
        <w:ind w:left="213" w:right="-20" w:firstLine="0"/>
        <w:rPr>
          <w:rFonts w:ascii="Times New Roman" w:cs="Times New Roman" w:eastAsia="Times New Roman" w:hAnsi="Times New Roman"/>
          <w:sz w:val="20"/>
          <w:szCs w:val="20"/>
        </w:rPr>
        <w:sectPr>
          <w:pgSz w:h="15840" w:w="12240" w:orient="portrait"/>
          <w:pgMar w:bottom="278" w:top="1338" w:left="919" w:right="919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.666666666666668"/>
          <w:szCs w:val="21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Cf.M.Of.al României, Partea I, Nr.800bis/13.XII.2011,Ordinul ministrului nr.5703 din18 oct.2011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1600" y="3774600"/>
                          <a:ext cx="1828800" cy="1270"/>
                          <a:chOff x="4431600" y="3774600"/>
                          <a:chExt cx="1828800" cy="9550"/>
                        </a:xfrm>
                      </wpg:grpSpPr>
                      <wpg:grpSp>
                        <wpg:cNvGrpSpPr/>
                        <wpg:grpSpPr>
                          <a:xfrm>
                            <a:off x="4431600" y="3779365"/>
                            <a:ext cx="1828800" cy="1270"/>
                            <a:chOff x="1133" y="-41"/>
                            <a:chExt cx="288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33" y="-41"/>
                              <a:ext cx="2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33" y="-41"/>
                              <a:ext cx="2880" cy="2"/>
                            </a:xfrm>
                            <a:custGeom>
                              <a:rect b="b" l="l" r="r" t="t"/>
                              <a:pathLst>
                                <a:path extrusionOk="0" h="2"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-25399</wp:posOffset>
                </wp:positionV>
                <wp:extent cx="1828800" cy="12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0" w:before="29" w:line="271" w:lineRule="auto"/>
        <w:ind w:left="573" w:right="-20" w:hanging="36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Competenţe specifice acumulate</w:t>
      </w:r>
    </w:p>
    <w:tbl>
      <w:tblPr>
        <w:tblStyle w:val="Table6"/>
        <w:tblW w:w="10390.0" w:type="dxa"/>
        <w:jc w:val="left"/>
        <w:tblLayout w:type="fixed"/>
        <w:tblLook w:val="0000"/>
      </w:tblPr>
      <w:tblGrid>
        <w:gridCol w:w="1413"/>
        <w:gridCol w:w="8977"/>
        <w:tblGridChange w:id="0">
          <w:tblGrid>
            <w:gridCol w:w="1413"/>
            <w:gridCol w:w="8977"/>
          </w:tblGrid>
        </w:tblGridChange>
      </w:tblGrid>
      <w:tr>
        <w:trPr>
          <w:cantSplit w:val="0"/>
          <w:trHeight w:val="3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Competenţe profesionale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610" w:right="-20" w:hanging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C1.4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Culegerea și prelucrarea de date din surse documentare alternative și din activitatea curentă, pentru evaluarea factorilor care influențează realizarea prestațiilor în organizațiile din comerț, turism și servicii.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610" w:right="-20" w:hanging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C3.2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Explicarea și interpretarea fenomenelor și proceselor economice specifice comerțului, turismului și serviciilor pe baza conceptelor privind cererea și oferta de servicii și a comportamentului consumatorilor.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610" w:right="-20" w:hanging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C3.4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Fundamentarea de studii și analize, organizatorice și de eficiență a activității firmelor în vederea acordării de consiliere și asistență.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610" w:right="-20" w:hanging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C4.1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Descrierea conceptelor și principiilor evidenței contabile aplicate în finanțarea activităților de comerț, turism și servicii, precum și a metodologiei și indicatorilor de fundamentare a alocării resurselor.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610" w:right="-20" w:hanging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C4.3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Elaborarea de calcule pentru diferite situații alternative (variante decizionale) în alocarea resurselor.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610" w:right="-20" w:hanging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C4.4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Fundamentarea necesarului de resurse materiale și financiare în raport cu cerințele volumului și eficienței organizațiilor de comerț, turism și servicii.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610" w:right="-20" w:hanging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C6.2 Explicarea și interpretarea de situații/procese concrete din domeniul administrării afacerilor pentru interpretarea corectă a evoluțiilor pieței muncii și a evoluțiilor din interiorul firmelor în ceea ce privește angajații.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Competenţe transversale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610" w:right="-20" w:hanging="5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CT1.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Aplicarea principiilor, normelor şi valorilor eticii profesionale în cadrul propriei strategii de muncă riguroasă, eficientă şi responsabilă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610" w:right="-20" w:hanging="567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CT2.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Identificarea rolurilor şi responsabilităților într-o echipă plurispecializată şi aplicarea de tehnici de relaționare şi muncă eficientă în cadrul echipei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before="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Obiectivele disciplinei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(reieşind din grila competenţelor specifice accumulate)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2" w:line="14.399999999999999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90.0" w:type="dxa"/>
        <w:jc w:val="left"/>
        <w:tblLayout w:type="fixed"/>
        <w:tblLook w:val="0000"/>
      </w:tblPr>
      <w:tblGrid>
        <w:gridCol w:w="1413"/>
        <w:gridCol w:w="8977"/>
        <w:tblGridChange w:id="0">
          <w:tblGrid>
            <w:gridCol w:w="1413"/>
            <w:gridCol w:w="8977"/>
          </w:tblGrid>
        </w:tblGridChange>
      </w:tblGrid>
      <w:tr>
        <w:trPr>
          <w:cantSplit w:val="0"/>
          <w:trHeight w:val="15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Obiectivul general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Aplicarea unor principii şi metode de bază pentru rezolvarea de probleme/situaţii bine definite, tipice domeniului în condiţii de asistenţă calificată. Utilizarea adecvată de criterii şi metode standard de evaluare pentru a aprecia calitatea, meritele şi limitele unor procese, programe, proiecte, concepte, metode şi teorii. Elaborarea de proiecte profesionale cu utilizarea unor principii şi metode consacrate în domeniu.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Obiectivele specifice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76" w:lineRule="auto"/>
              <w:ind w:left="105" w:right="1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Cunoașterea metodelor de bază necesare modelării proceselor socio-economice. Proiectare si constructie de modele. Crearea si testarea programelor de calculator ale modelelor. Cunoașterea și utilizarea elementelor de bază ale limbajului de programare de simulare bazat pe multiagent NetLogo.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before="3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before="29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Conţinuturi</w:t>
      </w:r>
      <w:r w:rsidDel="00000000" w:rsidR="00000000" w:rsidRPr="00000000">
        <w:rPr>
          <w:rtl w:val="0"/>
        </w:rPr>
      </w:r>
    </w:p>
    <w:tbl>
      <w:tblPr>
        <w:tblStyle w:val="Table8"/>
        <w:tblW w:w="10627.0" w:type="dxa"/>
        <w:jc w:val="left"/>
        <w:tblLayout w:type="fixed"/>
        <w:tblLook w:val="0000"/>
      </w:tblPr>
      <w:tblGrid>
        <w:gridCol w:w="6631"/>
        <w:gridCol w:w="2805"/>
        <w:gridCol w:w="1191"/>
        <w:tblGridChange w:id="0">
          <w:tblGrid>
            <w:gridCol w:w="6631"/>
            <w:gridCol w:w="2805"/>
            <w:gridCol w:w="1191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8.1 Curs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72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spacing w:after="0" w:line="240" w:lineRule="auto"/>
              <w:ind w:left="46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Gândirea sistemelor și inteligența artificială. Conceptul și caracteristicile modelului. Netlogo, un sistem de simulare computerizat bazat pe mulți agenți.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leader="none" w:pos="820"/>
              </w:tabs>
              <w:spacing w:after="0" w:before="1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numPr>
                <w:ilvl w:val="0"/>
                <w:numId w:val="4"/>
              </w:numPr>
              <w:spacing w:after="0" w:line="240" w:lineRule="auto"/>
              <w:ind w:left="46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Programare în programul NetLogo. Structura programului NetLogo. Agenți mobili și stabili. Agenți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after="0" w:line="240" w:lineRule="auto"/>
              <w:ind w:left="46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Probleme metodologice ale modelării. Structura modelelor. Modelarea sistemelor sociale și economice.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Modelare bazată pe agenți. Crearea de agenți. Proprietățile agenților. Protocolul ODD.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Simuláție Monte Carlo.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Formularea unui model de piata (vanzatori si cumparatori).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Modelarea cererii consumatorilor. Coeficientul Gini. Curba Lorenz.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Crearea unui model de piață a muncii în programul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Modelarea rețelelor sociale în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 Crearea unui model de bancă în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Construirea unui model de companie în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Construirea unui model de companie în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Modelare spațială în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Modelare spațială în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Prelegere şi problematizare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ore</w:t>
            </w:r>
          </w:p>
        </w:tc>
      </w:tr>
    </w:tbl>
    <w:p w:rsidR="00000000" w:rsidDel="00000000" w:rsidP="00000000" w:rsidRDefault="00000000" w:rsidRPr="00000000" w14:paraId="000000BE">
      <w:pPr>
        <w:spacing w:after="0" w:before="2" w:line="90" w:lineRule="auto"/>
        <w:rPr>
          <w:rFonts w:ascii="Times New Roman" w:cs="Times New Roman" w:eastAsia="Times New Roman" w:hAnsi="Times New Roman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14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31.0" w:type="dxa"/>
        <w:jc w:val="left"/>
        <w:tblLayout w:type="fixed"/>
        <w:tblLook w:val="0000"/>
      </w:tblPr>
      <w:tblGrid>
        <w:gridCol w:w="6236"/>
        <w:gridCol w:w="3117"/>
        <w:gridCol w:w="1278"/>
        <w:tblGridChange w:id="0">
          <w:tblGrid>
            <w:gridCol w:w="6236"/>
            <w:gridCol w:w="3117"/>
            <w:gridCol w:w="1278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8.2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72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Metode de predare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Observaţii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Structura și sistemul de meniu al programului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tabs>
                <w:tab w:val="left" w:leader="none" w:pos="820"/>
              </w:tabs>
              <w:spacing w:after="0" w:line="293.00000000000006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Crearea și utilizarea variabilelor.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Vizualizare în programul NetLogo.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Crearea de agenți simpli în NetLogo. Dublarea agenților.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Modificarea proprietăților agenților. Generarea aleatorie de agenți.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Oferirea de instrucțiuni agenților.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Pregătirea si testarea programului de piata.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Pregătirea și testarea programului de cerere a consumatorilor.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Pregătirea și testarea programului de cerere a consumatorilor. Interpretarea rezultatelor.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Pregătirea si testarea programului de piata muncii.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Crearea și testarea programului de rețea socială.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Crearea și testarea programului de rețea socială. Evaluarea rezultatelor.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Crearea si testarea modelului bancar.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62" w:right="-2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Testarea modelului corporativ.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Prezentarea temei, programare, funcționarea programului, evaluarea rezultatelor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ore</w:t>
            </w:r>
          </w:p>
        </w:tc>
      </w:tr>
      <w:tr>
        <w:trPr>
          <w:cantSplit w:val="0"/>
          <w:trHeight w:val="330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72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Bibliografie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before="5" w:line="110" w:lineRule="auto"/>
              <w:rPr>
                <w:sz w:val="11"/>
                <w:szCs w:val="1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spacing w:after="0" w:line="240" w:lineRule="auto"/>
              <w:ind w:left="62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Tarnóczi, T. (2022): NetLogo multiágens-alapú szimulációs program használata a gazdasági és társadalmi jelenségek modellezésében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spacing w:after="0" w:line="240" w:lineRule="auto"/>
              <w:ind w:left="62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Wilensky, Uri (2015): An introduction to agent-based modeling : modeling natural, social, and engineered complex systems with NetLogo.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1f1f"/>
                <w:sz w:val="24"/>
                <w:szCs w:val="24"/>
                <w:rtl w:val="0"/>
              </w:rPr>
              <w:t xml:space="preserve">Massachusetts Institute of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spacing w:after="0" w:line="240" w:lineRule="auto"/>
              <w:ind w:left="62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1f1f"/>
                <w:sz w:val="24"/>
                <w:szCs w:val="24"/>
                <w:rtl w:val="0"/>
              </w:rPr>
              <w:t xml:space="preserve">Vidal, J.M. (2012):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Fundamentals of Multiagent Systems with NetLogo Examples.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spacing w:after="0" w:line="240" w:lineRule="auto"/>
              <w:ind w:left="62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Hamill, L. – Gilbert, N. (2016): Agent-based Modelling in Economics. John Wiley &amp; Sons, Ltd.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spacing w:after="0" w:line="240" w:lineRule="auto"/>
              <w:ind w:left="62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Damaceanu, R-C. (2010):Agent-Based Computational Economics Using NetLogo. Betham Books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spacing w:after="0" w:line="240" w:lineRule="auto"/>
              <w:ind w:left="622" w:right="-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Banos, A. – Lang, C. – Marilleau, N. (ed.) (2015): Agent-based Spatial Simulation with NetLogo. Volume 1 Introduction and Bases. ISTE Press Ltd and Elsevier Ltd</w:t>
            </w:r>
          </w:p>
          <w:p w:rsidR="00000000" w:rsidDel="00000000" w:rsidP="00000000" w:rsidRDefault="00000000" w:rsidRPr="00000000" w14:paraId="000000F5">
            <w:pPr>
              <w:widowControl w:val="1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69" w:line="241" w:lineRule="auto"/>
        <w:ind w:right="32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Coroborarea conţinuturilor disciplinei cu aşteptările reprezentanţilor comunităţii epistemice, asociaţilor profesionale şi angajatori reprezentativi din domeniul aferent programului</w:t>
      </w:r>
    </w:p>
    <w:tbl>
      <w:tblPr>
        <w:tblStyle w:val="Table10"/>
        <w:tblW w:w="10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90"/>
        <w:tblGridChange w:id="0">
          <w:tblGrid>
            <w:gridCol w:w="103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after="0" w:before="69" w:line="241" w:lineRule="auto"/>
              <w:ind w:right="3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Studenții care finalizează cursul vor fi capabili să creeze modele sociale și economice mai simple. Ei pot pregăti programele în limbajul de programare NetLogo.</w:t>
            </w:r>
          </w:p>
          <w:p w:rsidR="00000000" w:rsidDel="00000000" w:rsidP="00000000" w:rsidRDefault="00000000" w:rsidRPr="00000000" w14:paraId="000000FB">
            <w:pPr>
              <w:spacing w:after="0" w:before="69" w:line="241" w:lineRule="auto"/>
              <w:ind w:right="3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Aplicaţiile practice rezolvate pe calculator oferă posibilitatea creşterii operativităţii şi eficienţei soluţionării unor probleme economica simple sau complexe..</w:t>
            </w:r>
          </w:p>
        </w:tc>
      </w:tr>
    </w:tbl>
    <w:p w:rsidR="00000000" w:rsidDel="00000000" w:rsidP="00000000" w:rsidRDefault="00000000" w:rsidRPr="00000000" w14:paraId="000000FC">
      <w:pPr>
        <w:spacing w:after="0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before="29" w:line="271" w:lineRule="auto"/>
        <w:ind w:left="213" w:right="-20" w:firstLine="0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10. Evaluare</w:t>
      </w:r>
    </w:p>
    <w:tbl>
      <w:tblPr>
        <w:tblStyle w:val="Table11"/>
        <w:tblW w:w="10445.0" w:type="dxa"/>
        <w:jc w:val="left"/>
        <w:tblLayout w:type="fixed"/>
        <w:tblLook w:val="0000"/>
      </w:tblPr>
      <w:tblGrid>
        <w:gridCol w:w="1413"/>
        <w:gridCol w:w="4394"/>
        <w:gridCol w:w="2599"/>
        <w:gridCol w:w="2039"/>
        <w:tblGridChange w:id="0">
          <w:tblGrid>
            <w:gridCol w:w="1413"/>
            <w:gridCol w:w="4394"/>
            <w:gridCol w:w="2599"/>
            <w:gridCol w:w="2039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 activitate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 Criterii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67" w:lineRule="auto"/>
              <w:ind w:left="105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 Metode de 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 Pondere din   nota finală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 Curs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before="9" w:line="240" w:lineRule="auto"/>
              <w:ind w:left="105" w:righ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Obţinerea notei de promovare la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grilă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50%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67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 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39" w:lineRule="auto"/>
              <w:ind w:left="105" w:right="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Contribuţii la discuţii şi predarea problemelor obligatorii la termenul stabilit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105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şi scris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67" w:lineRule="auto"/>
              <w:ind w:left="102" w:right="-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50%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84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10.6 Standard minim de performanţă: obţinerea notei 5 la examen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left="102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0" w:before="5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00.0" w:type="dxa"/>
        <w:jc w:val="left"/>
        <w:tblLayout w:type="fixed"/>
        <w:tblLook w:val="0000"/>
      </w:tblPr>
      <w:tblGrid>
        <w:gridCol w:w="2417"/>
        <w:gridCol w:w="4133"/>
        <w:gridCol w:w="3850"/>
        <w:tblGridChange w:id="0">
          <w:tblGrid>
            <w:gridCol w:w="2417"/>
            <w:gridCol w:w="4133"/>
            <w:gridCol w:w="3850"/>
          </w:tblGrid>
        </w:tblGridChange>
      </w:tblGrid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spacing w:after="0" w:before="69" w:line="240" w:lineRule="auto"/>
              <w:ind w:left="40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completării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spacing w:after="0" w:before="69" w:line="240" w:lineRule="auto"/>
              <w:ind w:left="667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Semnătura titularului de curs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spacing w:after="0" w:before="69" w:line="240" w:lineRule="auto"/>
              <w:ind w:left="413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Semnătura titularului de seminar</w:t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spacing w:after="0" w:before="5" w:line="1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ind w:left="40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spacing w:after="0" w:before="5" w:line="12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ind w:left="609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609" w:right="-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……………………………….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………………………………</w:t>
            </w:r>
          </w:p>
        </w:tc>
      </w:tr>
    </w:tbl>
    <w:p w:rsidR="00000000" w:rsidDel="00000000" w:rsidP="00000000" w:rsidRDefault="00000000" w:rsidRPr="00000000" w14:paraId="0000011A">
      <w:pPr>
        <w:spacing w:after="0" w:before="4" w:line="10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leader="none" w:pos="6380"/>
        </w:tabs>
        <w:spacing w:after="0" w:before="29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avizării în departament</w:t>
        <w:tab/>
        <w:t xml:space="preserve">Semnătura directorului de departament</w:t>
      </w:r>
    </w:p>
    <w:p w:rsidR="00000000" w:rsidDel="00000000" w:rsidP="00000000" w:rsidRDefault="00000000" w:rsidRPr="00000000" w14:paraId="0000011E">
      <w:pPr>
        <w:spacing w:after="0" w:before="16" w:line="2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leader="none" w:pos="6860"/>
        </w:tabs>
        <w:spacing w:after="0" w:line="240" w:lineRule="auto"/>
        <w:ind w:left="213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……………………………..</w:t>
        <w:tab/>
        <w:tab/>
        <w:t xml:space="preserve">………………………..</w:t>
        <w:tab/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060" w:left="920" w:right="9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22" w:hanging="360"/>
      </w:pPr>
      <w:rPr/>
    </w:lvl>
    <w:lvl w:ilvl="1">
      <w:start w:val="1"/>
      <w:numFmt w:val="lowerLetter"/>
      <w:lvlText w:val="%2."/>
      <w:lvlJc w:val="left"/>
      <w:pPr>
        <w:ind w:left="1342" w:hanging="360.0000000000001"/>
      </w:pPr>
      <w:rPr/>
    </w:lvl>
    <w:lvl w:ilvl="2">
      <w:start w:val="1"/>
      <w:numFmt w:val="lowerRoman"/>
      <w:lvlText w:val="%3."/>
      <w:lvlJc w:val="right"/>
      <w:pPr>
        <w:ind w:left="2062" w:hanging="180"/>
      </w:pPr>
      <w:rPr/>
    </w:lvl>
    <w:lvl w:ilvl="3">
      <w:start w:val="1"/>
      <w:numFmt w:val="decimal"/>
      <w:lvlText w:val="%4."/>
      <w:lvlJc w:val="left"/>
      <w:pPr>
        <w:ind w:left="2782" w:hanging="360"/>
      </w:pPr>
      <w:rPr/>
    </w:lvl>
    <w:lvl w:ilvl="4">
      <w:start w:val="1"/>
      <w:numFmt w:val="lowerLetter"/>
      <w:lvlText w:val="%5."/>
      <w:lvlJc w:val="left"/>
      <w:pPr>
        <w:ind w:left="3502" w:hanging="360"/>
      </w:pPr>
      <w:rPr/>
    </w:lvl>
    <w:lvl w:ilvl="5">
      <w:start w:val="1"/>
      <w:numFmt w:val="lowerRoman"/>
      <w:lvlText w:val="%6."/>
      <w:lvlJc w:val="right"/>
      <w:pPr>
        <w:ind w:left="4222" w:hanging="180"/>
      </w:pPr>
      <w:rPr/>
    </w:lvl>
    <w:lvl w:ilvl="6">
      <w:start w:val="1"/>
      <w:numFmt w:val="decimal"/>
      <w:lvlText w:val="%7."/>
      <w:lvlJc w:val="left"/>
      <w:pPr>
        <w:ind w:left="4942" w:hanging="360"/>
      </w:pPr>
      <w:rPr/>
    </w:lvl>
    <w:lvl w:ilvl="7">
      <w:start w:val="1"/>
      <w:numFmt w:val="lowerLetter"/>
      <w:lvlText w:val="%8."/>
      <w:lvlJc w:val="left"/>
      <w:pPr>
        <w:ind w:left="5662" w:hanging="360"/>
      </w:pPr>
      <w:rPr/>
    </w:lvl>
    <w:lvl w:ilvl="8">
      <w:start w:val="1"/>
      <w:numFmt w:val="lowerRoman"/>
      <w:lvlText w:val="%9."/>
      <w:lvlJc w:val="right"/>
      <w:pPr>
        <w:ind w:left="638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62" w:hanging="360"/>
      </w:pPr>
      <w:rPr/>
    </w:lvl>
    <w:lvl w:ilvl="1">
      <w:start w:val="1"/>
      <w:numFmt w:val="lowerLetter"/>
      <w:lvlText w:val="%2."/>
      <w:lvlJc w:val="left"/>
      <w:pPr>
        <w:ind w:left="1182" w:hanging="360"/>
      </w:pPr>
      <w:rPr/>
    </w:lvl>
    <w:lvl w:ilvl="2">
      <w:start w:val="1"/>
      <w:numFmt w:val="lowerRoman"/>
      <w:lvlText w:val="%3."/>
      <w:lvlJc w:val="right"/>
      <w:pPr>
        <w:ind w:left="1902" w:hanging="180"/>
      </w:pPr>
      <w:rPr/>
    </w:lvl>
    <w:lvl w:ilvl="3">
      <w:start w:val="1"/>
      <w:numFmt w:val="decimal"/>
      <w:lvlText w:val="%4."/>
      <w:lvlJc w:val="left"/>
      <w:pPr>
        <w:ind w:left="2622" w:hanging="360"/>
      </w:pPr>
      <w:rPr/>
    </w:lvl>
    <w:lvl w:ilvl="4">
      <w:start w:val="1"/>
      <w:numFmt w:val="lowerLetter"/>
      <w:lvlText w:val="%5."/>
      <w:lvlJc w:val="left"/>
      <w:pPr>
        <w:ind w:left="3342" w:hanging="360"/>
      </w:pPr>
      <w:rPr/>
    </w:lvl>
    <w:lvl w:ilvl="5">
      <w:start w:val="1"/>
      <w:numFmt w:val="lowerRoman"/>
      <w:lvlText w:val="%6."/>
      <w:lvlJc w:val="right"/>
      <w:pPr>
        <w:ind w:left="4062" w:hanging="180"/>
      </w:pPr>
      <w:rPr/>
    </w:lvl>
    <w:lvl w:ilvl="6">
      <w:start w:val="1"/>
      <w:numFmt w:val="decimal"/>
      <w:lvlText w:val="%7."/>
      <w:lvlJc w:val="left"/>
      <w:pPr>
        <w:ind w:left="4782" w:hanging="360"/>
      </w:pPr>
      <w:rPr/>
    </w:lvl>
    <w:lvl w:ilvl="7">
      <w:start w:val="1"/>
      <w:numFmt w:val="lowerLetter"/>
      <w:lvlText w:val="%8."/>
      <w:lvlJc w:val="left"/>
      <w:pPr>
        <w:ind w:left="5502" w:hanging="360"/>
      </w:pPr>
      <w:rPr/>
    </w:lvl>
    <w:lvl w:ilvl="8">
      <w:start w:val="1"/>
      <w:numFmt w:val="lowerRoman"/>
      <w:lvlText w:val="%9."/>
      <w:lvlJc w:val="right"/>
      <w:pPr>
        <w:ind w:left="622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73" w:hanging="360"/>
      </w:pPr>
      <w:rPr/>
    </w:lvl>
    <w:lvl w:ilvl="1">
      <w:start w:val="1"/>
      <w:numFmt w:val="lowerLetter"/>
      <w:lvlText w:val="%2."/>
      <w:lvlJc w:val="left"/>
      <w:pPr>
        <w:ind w:left="1293" w:hanging="359.9999999999999"/>
      </w:pPr>
      <w:rPr/>
    </w:lvl>
    <w:lvl w:ilvl="2">
      <w:start w:val="1"/>
      <w:numFmt w:val="lowerRoman"/>
      <w:lvlText w:val="%3."/>
      <w:lvlJc w:val="right"/>
      <w:pPr>
        <w:ind w:left="2013" w:hanging="180"/>
      </w:pPr>
      <w:rPr/>
    </w:lvl>
    <w:lvl w:ilvl="3">
      <w:start w:val="1"/>
      <w:numFmt w:val="decimal"/>
      <w:lvlText w:val="%4."/>
      <w:lvlJc w:val="left"/>
      <w:pPr>
        <w:ind w:left="2733" w:hanging="360"/>
      </w:pPr>
      <w:rPr/>
    </w:lvl>
    <w:lvl w:ilvl="4">
      <w:start w:val="1"/>
      <w:numFmt w:val="lowerLetter"/>
      <w:lvlText w:val="%5."/>
      <w:lvlJc w:val="left"/>
      <w:pPr>
        <w:ind w:left="3453" w:hanging="360"/>
      </w:pPr>
      <w:rPr/>
    </w:lvl>
    <w:lvl w:ilvl="5">
      <w:start w:val="1"/>
      <w:numFmt w:val="lowerRoman"/>
      <w:lvlText w:val="%6."/>
      <w:lvlJc w:val="right"/>
      <w:pPr>
        <w:ind w:left="4173" w:hanging="180"/>
      </w:pPr>
      <w:rPr/>
    </w:lvl>
    <w:lvl w:ilvl="6">
      <w:start w:val="1"/>
      <w:numFmt w:val="decimal"/>
      <w:lvlText w:val="%7."/>
      <w:lvlJc w:val="left"/>
      <w:pPr>
        <w:ind w:left="4893" w:hanging="360"/>
      </w:pPr>
      <w:rPr/>
    </w:lvl>
    <w:lvl w:ilvl="7">
      <w:start w:val="1"/>
      <w:numFmt w:val="lowerLetter"/>
      <w:lvlText w:val="%8."/>
      <w:lvlJc w:val="left"/>
      <w:pPr>
        <w:ind w:left="5613" w:hanging="360"/>
      </w:pPr>
      <w:rPr/>
    </w:lvl>
    <w:lvl w:ilvl="8">
      <w:start w:val="1"/>
      <w:numFmt w:val="lowerRoman"/>
      <w:lvlText w:val="%9."/>
      <w:lvlJc w:val="right"/>
      <w:pPr>
        <w:ind w:left="6333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62" w:hanging="360"/>
      </w:pPr>
      <w:rPr/>
    </w:lvl>
    <w:lvl w:ilvl="1">
      <w:start w:val="1"/>
      <w:numFmt w:val="lowerLetter"/>
      <w:lvlText w:val="%2."/>
      <w:lvlJc w:val="left"/>
      <w:pPr>
        <w:ind w:left="1182" w:hanging="360"/>
      </w:pPr>
      <w:rPr/>
    </w:lvl>
    <w:lvl w:ilvl="2">
      <w:start w:val="1"/>
      <w:numFmt w:val="lowerRoman"/>
      <w:lvlText w:val="%3."/>
      <w:lvlJc w:val="right"/>
      <w:pPr>
        <w:ind w:left="1902" w:hanging="180"/>
      </w:pPr>
      <w:rPr/>
    </w:lvl>
    <w:lvl w:ilvl="3">
      <w:start w:val="1"/>
      <w:numFmt w:val="decimal"/>
      <w:lvlText w:val="%4."/>
      <w:lvlJc w:val="left"/>
      <w:pPr>
        <w:ind w:left="2622" w:hanging="360"/>
      </w:pPr>
      <w:rPr/>
    </w:lvl>
    <w:lvl w:ilvl="4">
      <w:start w:val="1"/>
      <w:numFmt w:val="lowerLetter"/>
      <w:lvlText w:val="%5."/>
      <w:lvlJc w:val="left"/>
      <w:pPr>
        <w:ind w:left="3342" w:hanging="360"/>
      </w:pPr>
      <w:rPr/>
    </w:lvl>
    <w:lvl w:ilvl="5">
      <w:start w:val="1"/>
      <w:numFmt w:val="lowerRoman"/>
      <w:lvlText w:val="%6."/>
      <w:lvlJc w:val="right"/>
      <w:pPr>
        <w:ind w:left="4062" w:hanging="180"/>
      </w:pPr>
      <w:rPr/>
    </w:lvl>
    <w:lvl w:ilvl="6">
      <w:start w:val="1"/>
      <w:numFmt w:val="decimal"/>
      <w:lvlText w:val="%7."/>
      <w:lvlJc w:val="left"/>
      <w:pPr>
        <w:ind w:left="4782" w:hanging="360"/>
      </w:pPr>
      <w:rPr/>
    </w:lvl>
    <w:lvl w:ilvl="7">
      <w:start w:val="1"/>
      <w:numFmt w:val="lowerLetter"/>
      <w:lvlText w:val="%8."/>
      <w:lvlJc w:val="left"/>
      <w:pPr>
        <w:ind w:left="5502" w:hanging="360"/>
      </w:pPr>
      <w:rPr/>
    </w:lvl>
    <w:lvl w:ilvl="8">
      <w:start w:val="1"/>
      <w:numFmt w:val="lowerRoman"/>
      <w:lvlText w:val="%9."/>
      <w:lvlJc w:val="right"/>
      <w:pPr>
        <w:ind w:left="622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NsTW4wjcXja1DZFoMMr83npfsg==">AMUW2mXfrbq0NoJP5TeHdwbeDjcNnqpI/uian8WdQpkqRr2EN4K1Yk3o/g7H8izurJ3I4wwf+mPFysm6SxUwS4P8/UMvsN9kyXztokzppgHB1GojDarwsXIGUVHXb/30HLL2ScoqN/fP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