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Creștină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Științe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Tehnologie hotelieră și de restaurant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(ECTS 2205)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 Univ. Dr. Pető Károly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Conf.Univ.Dr.Molnar Elisabeta Ilona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4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Studiu  Economia turismului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4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internet,teren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4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C1.1 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C1.2 Explicarea și interpretarea date și informații din punct de vedere cantitativ și calitativ, pentru formularea de argumente și decizii concrete asociate comerțului, turismului și serviciilor.</w:t>
            </w:r>
          </w:p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C1.3 Rezolvarea problemelor în contexte bine definite asociate: conceperii, planificării și executării de activități în cadrul firmelor de comerț, turism și servicii.</w:t>
            </w:r>
          </w:p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C2.1 Descrierea modalităților de concepere a produsului turistic, a tehnicilor de comercializare și a comportamentului agenților economici în contextul creat de legislația și regulamente aferente în vigoare.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C5.2 Explicarea și interpretarea unor variate tipuri de concepte, situații și procese asociate sistemelor de asigurare a calității în servicii.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CT.1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CT.2 Identificarea rolurilor şi responsabilităţilor într-o echipă plurispecializată şi aplicarea de tehnici de relaţionare şi muncă eficientă în cadrul echipei.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CT.3 Identificarea oportunităţilor de formare continuă şi valorificarea eficientă a resurselor şi tehnicilor de învăţare pentru propria dezvoltare</w:t>
            </w:r>
          </w:p>
        </w:tc>
      </w:tr>
    </w:tbl>
    <w:p w:rsidR="00000000" w:rsidDel="00000000" w:rsidP="00000000" w:rsidRDefault="00000000" w:rsidRPr="00000000" w14:paraId="0000007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4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Cunoașterea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și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însușirea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competenţelor profesionale </w:t>
            </w:r>
            <w:r w:rsidDel="00000000" w:rsidR="00000000" w:rsidRPr="00000000">
              <w:rPr>
                <w:rtl w:val="0"/>
              </w:rPr>
              <w:t xml:space="preserve">în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domeniul hotelier și de restaurație la standardele europene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Însușirea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cunoștințelor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referitoare la clasificarea infrastructurii în industria </w:t>
            </w:r>
            <w:r w:rsidDel="00000000" w:rsidR="00000000" w:rsidRPr="00000000">
              <w:rPr>
                <w:rtl w:val="0"/>
              </w:rPr>
              <w:t xml:space="preserve">hotelieră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și de restaurație.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Însușirea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caracteristicilor specifice serviciilor hoteliere și de restaurație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•Dobândirea prin prisma exercitiului a unor deprinderi  de activitate în domeniu, realizarea unor proiecte individuale şi în echipă.</w:t>
            </w:r>
          </w:p>
        </w:tc>
      </w:tr>
    </w:tbl>
    <w:p w:rsidR="00000000" w:rsidDel="00000000" w:rsidP="00000000" w:rsidRDefault="00000000" w:rsidRPr="00000000" w14:paraId="00000084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4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Teorii şi componente ale industriei ospitalităţii. Industria ospitalităţii - definire şi dimensiuni.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Infrastructura de bază în industria ospitalităţii. Structuri de primire cu funcţiuni   de cazare, caracteristici si perspective. Baza tehnico-materială de cazare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Structura organizatorică al hotelului.Organizarea departamentelor în hotel.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Serviciile de baza si complementare  in industria hoteliera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.Clasificarea unităţilor de cazare, reglementări interne  şi norme 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Resursele umane în hotelărie. Carcteristicile activităţii desfăşurate în diferite departamente din hotel, standarde şi  cerinţe profesionale.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Infrastructura de bază în industria ospitalităţii. Structuri de primire cu funcţiuni   de alimentatie, caracteristici si perspective. Baza tehnico-materială in alimentaţia publica.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Structura organizatorică al restaurantului.Oragnizarea  departamentelor in restauratie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Serviciile de baza si complementare in restauratie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Criterii de clasificare a unităţilor de restauraţie.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Resursele umane în restauratie. Carcteristicile activităţii desfăşurate în diferite departamente din restaurant, standarde şi  cerinţe profesionale.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Organizarea de evenimente. Particularităţile organizării unei conferinţe internaţionale in hotel.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Organizarea de evenimente. Particularităţile in restauratie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Organizaţii naţionale şi internaţionale în industria hotelieră. Rolul asociaţiilor patronale şi profesionale în dezvoltarea şi reglementarea activităţii hoteliere şi de restaurant.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Industria ospitalităţii  pe plan mondial.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Infrastructura de bază în industria ospitalităţii. Structuri de primire cu funcţiuni   de cazare: hotel, pensiune, motel, camping,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Structura organizatorică al hotelului.Organizarea departamentelor în hotel.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Serviciile de baza si complementare  in industria hoteliera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Clasificarea unităţilor de cazare in Romania, şi norme 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Vizitarea unui hotel de 4 stele in Oradea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Teren, studii de caz,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Infrastructura de bază în industria ospitalităţii. Structuri de primire cu funcţiuni   de alimentatie, caracteristici si perspective. Baza tehnico-materială in alimentaţia publica.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Structura organizatorică al restaurantului.Oragnizarea  departamentelor in restauratie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Serviciile de baza si complementare in restauratie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Criterii de clasificare a unităţilor de restauraţie.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Vizitarea unui restaurant in Oradea.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Teren,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Organizarea de evenimente. Particularităţile organizării unei conferinţe internaţionalein hotel si restaurant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Prezentari proiecte in echipa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14.Prezentari proiecte in echipa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obligatorie</w:t>
            </w:r>
          </w:p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Tema 1-14  Materialul prezentat la curs si seminar -suport de curs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Bártfai Endre, Szállodai alapismeretek mellékletek, BGE Kiadó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Jávor Julia,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Korszerű szállás szolgáltatás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Képzöművészeti Kiadó, 2010.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Radu Nicolescu,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Tehnologia restaurantelor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Editura Inter Rebs, Bucuresti,1998.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Stroh Péter, Pincér szakmai ismeretek, Tankönyvmester Kiadó, Budapest, 2007.</w:t>
            </w:r>
          </w:p>
          <w:p w:rsidR="00000000" w:rsidDel="00000000" w:rsidP="00000000" w:rsidRDefault="00000000" w:rsidRPr="00000000" w14:paraId="000000E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Timothy Lee,  Gabriela Stănciulescu  (editors),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Practical principles in the tourism and hotel industry(in English language),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ASE Publishing House, Bucharest,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2011,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131 pages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ISBN 978-606-505-403-5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***Száloda és vendéglátóipar Európában, A szálloda és vendéglátóipari ágazatot érintő 250 Európai Uniós Intézkedés, 2002 szeptember, Miniszterelnöki Hivatal, Turisztikai Államtitkárság.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</w:t>
            </w:r>
          </w:p>
        </w:tc>
      </w:tr>
    </w:tbl>
    <w:p w:rsidR="00000000" w:rsidDel="00000000" w:rsidP="00000000" w:rsidRDefault="00000000" w:rsidRPr="00000000" w14:paraId="000000EB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:rsidR="00000000" w:rsidDel="00000000" w:rsidP="00000000" w:rsidRDefault="00000000" w:rsidRPr="00000000" w14:paraId="000000ED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sumativă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Examen scris si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progresivă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recenzie articol de specialitate, participare activă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 Obţinerea a minim 50% din punctajul total acordat, (60 % la proba de verificare scrisă si orala și 40% pentru activitatea de seminar).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65hV9mgQ0sldSLhcvm9cuaLNvA==">AMUW2mXIY+9YL924+uRGwgEifcKYa6VLg92PshIhwHj6oWRtuD6Wxd/8fwRPCyuQ1t/9yO9ADhZXZRrw2etF0VJxPt04W4RxgvN2EKID6PLI+DTG/JLW2EU=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