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8" w:line="353" w:lineRule="auto"/>
        <w:ind w:left="3884" w:right="3866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FIŞA DISCIPLINEI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7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9" w:line="271" w:lineRule="auto"/>
        <w:ind w:left="573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Layout w:type="fixed"/>
        <w:tblLook w:val="0000"/>
      </w:tblPr>
      <w:tblGrid>
        <w:gridCol w:w="3969"/>
        <w:gridCol w:w="6236"/>
        <w:tblGridChange w:id="0">
          <w:tblGrid>
            <w:gridCol w:w="3969"/>
            <w:gridCol w:w="6236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Universitatea Creştină Partium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Facultatea de Ştiinţe Economice și Sociale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Departamentul de Economie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Administrarea Afacerilor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Licenţă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Economia Comertului, Turismului si Serviciilor</w:t>
            </w:r>
          </w:p>
        </w:tc>
      </w:tr>
    </w:tbl>
    <w:p w:rsidR="00000000" w:rsidDel="00000000" w:rsidP="00000000" w:rsidRDefault="00000000" w:rsidRPr="00000000" w14:paraId="00000012">
      <w:pPr>
        <w:spacing w:after="0"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disciplină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0.0" w:type="dxa"/>
        <w:jc w:val="left"/>
        <w:tblLayout w:type="fixed"/>
        <w:tblLook w:val="0000"/>
      </w:tblPr>
      <w:tblGrid>
        <w:gridCol w:w="3969"/>
        <w:gridCol w:w="6221"/>
        <w:tblGridChange w:id="0">
          <w:tblGrid>
            <w:gridCol w:w="3969"/>
            <w:gridCol w:w="6221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Economia Europeana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Fikó László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 Titularul activităţii de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Kovács Tünde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examinare scrisă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DF</w:t>
            </w:r>
          </w:p>
        </w:tc>
      </w:tr>
    </w:tbl>
    <w:p w:rsidR="00000000" w:rsidDel="00000000" w:rsidP="00000000" w:rsidRDefault="00000000" w:rsidRPr="00000000" w14:paraId="00000023">
      <w:pPr>
        <w:spacing w:after="0"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Timpul total estimat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0.0" w:type="dxa"/>
        <w:jc w:val="left"/>
        <w:tblLayout w:type="fixed"/>
        <w:tblLook w:val="0000"/>
      </w:tblPr>
      <w:tblGrid>
        <w:gridCol w:w="3935"/>
        <w:gridCol w:w="708"/>
        <w:gridCol w:w="1844"/>
        <w:gridCol w:w="710"/>
        <w:gridCol w:w="2273"/>
        <w:gridCol w:w="720"/>
        <w:tblGridChange w:id="0">
          <w:tblGrid>
            <w:gridCol w:w="3935"/>
            <w:gridCol w:w="708"/>
            <w:gridCol w:w="1844"/>
            <w:gridCol w:w="710"/>
            <w:gridCol w:w="2273"/>
            <w:gridCol w:w="72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 care 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 Total ore din planul de învăţământ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 care 3.5curs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Distribuţia fondului de timp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69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Studiul după manual, support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Alte activităţi…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3.8 Total ore pe 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3.9 Numărul de credite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E">
      <w:pPr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0.0" w:type="dxa"/>
        <w:jc w:val="left"/>
        <w:tblLayout w:type="fixed"/>
        <w:tblLook w:val="0000"/>
      </w:tblPr>
      <w:tblGrid>
        <w:gridCol w:w="2093"/>
        <w:gridCol w:w="8097"/>
        <w:tblGridChange w:id="0">
          <w:tblGrid>
            <w:gridCol w:w="2093"/>
            <w:gridCol w:w="8097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before="18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0.0" w:type="dxa"/>
        <w:jc w:val="left"/>
        <w:tblLayout w:type="fixed"/>
        <w:tblLook w:val="0000"/>
      </w:tblPr>
      <w:tblGrid>
        <w:gridCol w:w="4928"/>
        <w:gridCol w:w="5262"/>
        <w:tblGridChange w:id="0">
          <w:tblGrid>
            <w:gridCol w:w="4928"/>
            <w:gridCol w:w="526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Sală de curs, calculator, videoproiector, tablă, Internet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Sală de seminar, calculator, videoproiector, tablă, Internet, teren</w:t>
            </w:r>
          </w:p>
        </w:tc>
      </w:tr>
    </w:tbl>
    <w:p w:rsidR="00000000" w:rsidDel="00000000" w:rsidP="00000000" w:rsidRDefault="00000000" w:rsidRPr="00000000" w14:paraId="0000007E">
      <w:pPr>
        <w:spacing w:after="0" w:before="12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44" w:line="240" w:lineRule="auto"/>
        <w:ind w:left="213" w:right="-20" w:firstLine="0"/>
        <w:rPr>
          <w:rFonts w:ascii="Times New Roman" w:cs="Times New Roman" w:eastAsia="Times New Roman" w:hAnsi="Times New Roman"/>
          <w:sz w:val="20"/>
          <w:szCs w:val="20"/>
        </w:rPr>
        <w:sectPr>
          <w:pgSz w:h="15840" w:w="12240" w:orient="portrait"/>
          <w:pgMar w:bottom="280" w:top="1340" w:left="920" w:right="92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Cf.M.Of.al României, Partea I, Nr.800bis/13.XII.2011,Ordinul ministrului nr.5703 din18 oct.2011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1833880" cy="63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9425" y="3772350"/>
                          <a:ext cx="1833880" cy="6350"/>
                          <a:chOff x="4429425" y="3772350"/>
                          <a:chExt cx="1833150" cy="10525"/>
                        </a:xfrm>
                      </wpg:grpSpPr>
                      <wpg:grpSp>
                        <wpg:cNvGrpSpPr/>
                        <wpg:grpSpPr>
                          <a:xfrm>
                            <a:off x="4429440" y="3777120"/>
                            <a:ext cx="1833120" cy="5760"/>
                            <a:chOff x="0" y="0"/>
                            <a:chExt cx="183312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331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833120" cy="5760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1833880" cy="6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8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Competenţe specifice acumulate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0.0" w:type="dxa"/>
        <w:jc w:val="left"/>
        <w:tblLayout w:type="fixed"/>
        <w:tblLook w:val="0000"/>
      </w:tblPr>
      <w:tblGrid>
        <w:gridCol w:w="1527"/>
        <w:gridCol w:w="8663"/>
        <w:tblGridChange w:id="0">
          <w:tblGrid>
            <w:gridCol w:w="1527"/>
            <w:gridCol w:w="8663"/>
          </w:tblGrid>
        </w:tblGridChange>
      </w:tblGrid>
      <w:tr>
        <w:trPr>
          <w:cantSplit w:val="0"/>
          <w:trHeight w:val="2528.9999999999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6.1.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C1.1 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C1.2 Explicarea și interpretarea date și informații din punct de vedere cantitativ și calitativ, pentru formularea de argumente și decizii concrete asociate comerțului, turismului și serviciilor.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C3.4 Fundamentarea de studii și analize, organizatorice și de eficiență a activității firmelor în vederea acordării de consiliere și asistență.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6.2. Competenţe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transversale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right="11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CT1. Aplicarea principiilor, normelor şi valorilor eticii profesionale în cadrul propriei strategii de muncă riguroasă, eficientă şi responsabilă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right="11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CT2. Identificarea rolurilor şi responsabilităților într-o echipă plurispecializată şi aplicarea de tehnici de relaționare şi muncă eficientă în cadrul echipei</w:t>
            </w:r>
          </w:p>
        </w:tc>
      </w:tr>
    </w:tbl>
    <w:p w:rsidR="00000000" w:rsidDel="00000000" w:rsidP="00000000" w:rsidRDefault="00000000" w:rsidRPr="00000000" w14:paraId="0000008D">
      <w:pPr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Obiectivele disciplinei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29" w:line="271" w:lineRule="auto"/>
        <w:ind w:left="57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8.0" w:type="dxa"/>
        <w:jc w:val="left"/>
        <w:tblLayout w:type="fixed"/>
        <w:tblLook w:val="0000"/>
      </w:tblPr>
      <w:tblGrid>
        <w:gridCol w:w="2651"/>
        <w:gridCol w:w="7507"/>
        <w:tblGridChange w:id="0">
          <w:tblGrid>
            <w:gridCol w:w="2651"/>
            <w:gridCol w:w="7507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 Obiectivul general al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Scopul obiectului este să facă vizibil întrebările esențiale a integrării Europene de la început până în zilele de azi. 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 Obiectivele specifice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În prima jumătate a semestrului studenții fac cunoștință cu dezvoltarea integrației. În a doua parte a cursului va fi prezentată cele mai esențiale plitici comune. La închiderea cursului analizăm relația Europei Centrală și a Uniunea Europeană de la aderare până astăzi. În timpul ce a mai rămas facem cunoștință cu încercarea de integrare a statelor din Asia de Sud-Est.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820"/>
        </w:tabs>
        <w:spacing w:after="0" w:before="1" w:line="240" w:lineRule="auto"/>
        <w:ind w:left="465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Conţinuturi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29" w:line="240" w:lineRule="auto"/>
        <w:ind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20.0" w:type="dxa"/>
        <w:jc w:val="left"/>
        <w:tblLayout w:type="fixed"/>
        <w:tblLook w:val="0000"/>
      </w:tblPr>
      <w:tblGrid>
        <w:gridCol w:w="6521"/>
        <w:gridCol w:w="2471"/>
        <w:gridCol w:w="1228"/>
        <w:tblGridChange w:id="0">
          <w:tblGrid>
            <w:gridCol w:w="6521"/>
            <w:gridCol w:w="2471"/>
            <w:gridCol w:w="1228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8.1 Curs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72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"/>
              </w:numPr>
              <w:spacing w:after="200" w:before="0" w:lineRule="auto"/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Începutul integrației Europene.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Cursul de integrare Europeană între 1986-2009.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Instituțiile Uniunea Europeană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Bugetul Uniunea Europeană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Formarea și funcționarea lui EMU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Politica comună agrară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Politica regională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Politica socială și problemele migrației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Politica mediului și a energiei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Uniunea Europeană în lumea globalizată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Schimbare de regim în Europa Centrală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Europa Centrală și Uniunea Europeană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Încercări de integrare în Asia de Sud-Est.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Pregătire pentru examen.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24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CF">
      <w:pPr>
        <w:spacing w:after="0" w:before="2" w:line="90" w:lineRule="auto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before="14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20.0" w:type="dxa"/>
        <w:jc w:val="left"/>
        <w:tblLayout w:type="fixed"/>
        <w:tblLook w:val="0000"/>
      </w:tblPr>
      <w:tblGrid>
        <w:gridCol w:w="6521"/>
        <w:gridCol w:w="2471"/>
        <w:gridCol w:w="1228"/>
        <w:tblGridChange w:id="0">
          <w:tblGrid>
            <w:gridCol w:w="6521"/>
            <w:gridCol w:w="2471"/>
            <w:gridCol w:w="1228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after="20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8.2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67" w:lineRule="auto"/>
              <w:ind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after="200" w:before="0" w:lineRule="auto"/>
              <w:ind w:left="502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Începutul integrației Europene.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22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ind w:left="5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after="200" w:before="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Cursul de integrare Europeană între 1986-2009.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Instituțiile Uniunea Europeană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after="200" w:before="0"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Bugetul Uniunea Europeană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5. Formarea și funcționarea lui EMU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tabs>
                <w:tab w:val="left" w:leader="none" w:pos="820"/>
              </w:tabs>
              <w:spacing w:after="0" w:before="1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Politica comună agrară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7. Politica regională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8. Politica socială și problemele migrației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Politica mediului și a energiei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10. Uniunea Europeană în lumea globalizată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Schimbare de regim în Europa Centrală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12. Europa Centrală și Uniunea Europeană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13. Încercări de integrare în Asia de Sud-Est.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20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14. Pregătire pentru examen.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leader="none" w:pos="820"/>
              </w:tabs>
              <w:spacing w:after="0" w:before="4" w:line="240" w:lineRule="auto"/>
              <w:ind w:left="14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Ppt, discuţii, dezbatere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101">
      <w:pPr>
        <w:spacing w:after="0" w:before="14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12.0" w:type="dxa"/>
        <w:jc w:val="left"/>
        <w:tblLayout w:type="fixed"/>
        <w:tblLook w:val="0000"/>
      </w:tblPr>
      <w:tblGrid>
        <w:gridCol w:w="10312"/>
        <w:tblGridChange w:id="0">
          <w:tblGrid>
            <w:gridCol w:w="10312"/>
          </w:tblGrid>
        </w:tblGridChange>
      </w:tblGrid>
      <w:tr>
        <w:trPr>
          <w:cantSplit w:val="0"/>
          <w:trHeight w:val="3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72" w:lineRule="auto"/>
              <w:ind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Bibliografie obligatorie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5" w:line="11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1: Arató Krisztina – Koller Boglárka (2015): Európa utazása. Gondolat Kiadó, Budapest.</w:t>
            </w:r>
          </w:p>
          <w:p w:rsidR="00000000" w:rsidDel="00000000" w:rsidP="00000000" w:rsidRDefault="00000000" w:rsidRPr="00000000" w14:paraId="00000105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2: Horváth Zoltán (2011): Kézikönyv az Európai Unióról. HVG-ORAC.</w:t>
            </w:r>
          </w:p>
          <w:p w:rsidR="00000000" w:rsidDel="00000000" w:rsidP="00000000" w:rsidRDefault="00000000" w:rsidRPr="00000000" w14:paraId="00000106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3: Kengyel Ákos (2020): Európai Uniós Politikák. Akadémiai Kiadó, Budapest.</w:t>
            </w:r>
          </w:p>
          <w:p w:rsidR="00000000" w:rsidDel="00000000" w:rsidP="00000000" w:rsidRDefault="00000000" w:rsidRPr="00000000" w14:paraId="00000107">
            <w:pPr>
              <w:widowControl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Bibliografie facultativă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1: Győrffy Dóra (2018): Trust and crisis management in the European Union. Palgrave Macmillan, Cham.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20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0" w:before="69" w:line="240" w:lineRule="auto"/>
        <w:ind w:right="32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before="69" w:line="240" w:lineRule="auto"/>
        <w:ind w:right="32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Coroborarea conţinuturilor disciplinei cu aşteptările reprezentanţilor comunităţii epistemice, asociaţilor profesionale şi angajatori reprezentativi din domeniul aferent programului</w:t>
      </w:r>
    </w:p>
    <w:p w:rsidR="00000000" w:rsidDel="00000000" w:rsidP="00000000" w:rsidRDefault="00000000" w:rsidRPr="00000000" w14:paraId="0000010C">
      <w:pPr>
        <w:spacing w:after="0" w:before="69" w:line="240" w:lineRule="auto"/>
        <w:ind w:right="32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40.0" w:type="dxa"/>
        <w:jc w:val="left"/>
        <w:tblInd w:w="-108.0" w:type="dxa"/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before="69" w:line="240" w:lineRule="auto"/>
              <w:ind w:right="32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before="0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10. Evaluare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9.0" w:type="dxa"/>
        <w:jc w:val="left"/>
        <w:tblLayout w:type="fixed"/>
        <w:tblLook w:val="0000"/>
      </w:tblPr>
      <w:tblGrid>
        <w:gridCol w:w="1555"/>
        <w:gridCol w:w="3373"/>
        <w:gridCol w:w="2719"/>
        <w:gridCol w:w="2842"/>
        <w:tblGridChange w:id="0">
          <w:tblGrid>
            <w:gridCol w:w="1555"/>
            <w:gridCol w:w="3373"/>
            <w:gridCol w:w="2719"/>
            <w:gridCol w:w="2842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 Criterii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 Pondere din nota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finală (%)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pacing w:after="0" w:before="9" w:line="240" w:lineRule="auto"/>
              <w:ind w:righ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Evaluare sumativă. Structura subiectelor de examen: 3 subiecte teoretice.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Examinare scrisă.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Ponderea examenului este 50 % din nota finală.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35" w:lineRule="auto"/>
              <w:ind w:righ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cunoașterea materialului, prezentarea articolul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ind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prezentație cu ppt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Ponderea activitatii pe parcurs este 50 % din nota finală.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="284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10.6 Standard minim de performanţă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before="0" w:line="284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after="0" w:before="5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99.0" w:type="dxa"/>
        <w:jc w:val="left"/>
        <w:tblLayout w:type="fixed"/>
        <w:tblLook w:val="0000"/>
      </w:tblPr>
      <w:tblGrid>
        <w:gridCol w:w="2370"/>
        <w:gridCol w:w="4054"/>
        <w:gridCol w:w="3775"/>
        <w:tblGridChange w:id="0">
          <w:tblGrid>
            <w:gridCol w:w="2370"/>
            <w:gridCol w:w="4054"/>
            <w:gridCol w:w="3775"/>
          </w:tblGrid>
        </w:tblGridChange>
      </w:tblGrid>
      <w:tr>
        <w:trPr>
          <w:cantSplit w:val="0"/>
          <w:trHeight w:val="769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widowControl w:val="0"/>
              <w:spacing w:after="0" w:before="0" w:line="240" w:lineRule="auto"/>
              <w:ind w:left="40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completării</w:t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ind w:left="667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Semnătura titularului de curs</w:t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ind w:left="413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769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ind w:right="-2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15. 09. 2023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spacing w:after="0" w:before="5" w:line="1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ind w:left="609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dr. Fikó László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spacing w:after="0" w:before="5" w:line="1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ind w:right="-20" w:firstLine="4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Kovács Tünde</w:t>
            </w:r>
          </w:p>
        </w:tc>
      </w:tr>
    </w:tbl>
    <w:p w:rsidR="00000000" w:rsidDel="00000000" w:rsidP="00000000" w:rsidRDefault="00000000" w:rsidRPr="00000000" w14:paraId="0000012C">
      <w:pPr>
        <w:spacing w:after="0" w:before="4" w:line="10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before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leader="none" w:pos="6380"/>
        </w:tabs>
        <w:spacing w:after="0" w:before="29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avizării în departament                                                      Semnătura directorului de departament</w:t>
      </w:r>
    </w:p>
    <w:p w:rsidR="00000000" w:rsidDel="00000000" w:rsidP="00000000" w:rsidRDefault="00000000" w:rsidRPr="00000000" w14:paraId="0000012F">
      <w:pPr>
        <w:spacing w:after="0" w:before="16" w:line="2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0">
      <w:pPr>
        <w:spacing w:after="0" w:before="16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leader="none" w:pos="6860"/>
        </w:tabs>
        <w:spacing w:after="0" w:before="0" w:line="240" w:lineRule="auto"/>
        <w:ind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dr. Veres Edit</w:t>
      </w:r>
    </w:p>
    <w:p w:rsidR="00000000" w:rsidDel="00000000" w:rsidP="00000000" w:rsidRDefault="00000000" w:rsidRPr="00000000" w14:paraId="00000132">
      <w:pPr>
        <w:spacing w:after="0" w:before="5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leader="none" w:pos="6860"/>
        </w:tabs>
        <w:spacing w:after="0" w:before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sectPr>
      <w:type w:val="nextPage"/>
      <w:pgSz w:h="15840" w:w="12240" w:orient="portrait"/>
      <w:pgMar w:bottom="280" w:top="1060" w:left="920" w:right="9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3" w:hanging="360"/>
      </w:pPr>
      <w:rPr/>
    </w:lvl>
    <w:lvl w:ilvl="1">
      <w:start w:val="1"/>
      <w:numFmt w:val="lowerLetter"/>
      <w:lvlText w:val="%2."/>
      <w:lvlJc w:val="left"/>
      <w:pPr>
        <w:ind w:left="1293" w:hanging="359.9999999999999"/>
      </w:pPr>
      <w:rPr/>
    </w:lvl>
    <w:lvl w:ilvl="2">
      <w:start w:val="1"/>
      <w:numFmt w:val="lowerRoman"/>
      <w:lvlText w:val="%3."/>
      <w:lvlJc w:val="right"/>
      <w:pPr>
        <w:ind w:left="2013" w:hanging="180"/>
      </w:pPr>
      <w:rPr/>
    </w:lvl>
    <w:lvl w:ilvl="3">
      <w:start w:val="1"/>
      <w:numFmt w:val="decimal"/>
      <w:lvlText w:val="%4."/>
      <w:lvlJc w:val="left"/>
      <w:pPr>
        <w:ind w:left="2733" w:hanging="360"/>
      </w:pPr>
      <w:rPr/>
    </w:lvl>
    <w:lvl w:ilvl="4">
      <w:start w:val="1"/>
      <w:numFmt w:val="lowerLetter"/>
      <w:lvlText w:val="%5."/>
      <w:lvlJc w:val="left"/>
      <w:pPr>
        <w:ind w:left="3453" w:hanging="360"/>
      </w:pPr>
      <w:rPr/>
    </w:lvl>
    <w:lvl w:ilvl="5">
      <w:start w:val="1"/>
      <w:numFmt w:val="lowerRoman"/>
      <w:lvlText w:val="%6."/>
      <w:lvlJc w:val="right"/>
      <w:pPr>
        <w:ind w:left="4173" w:hanging="180"/>
      </w:pPr>
      <w:rPr/>
    </w:lvl>
    <w:lvl w:ilvl="6">
      <w:start w:val="1"/>
      <w:numFmt w:val="decimal"/>
      <w:lvlText w:val="%7."/>
      <w:lvlJc w:val="left"/>
      <w:pPr>
        <w:ind w:left="4893" w:hanging="360"/>
      </w:pPr>
      <w:rPr/>
    </w:lvl>
    <w:lvl w:ilvl="7">
      <w:start w:val="1"/>
      <w:numFmt w:val="lowerLetter"/>
      <w:lvlText w:val="%8."/>
      <w:lvlJc w:val="left"/>
      <w:pPr>
        <w:ind w:left="5613" w:hanging="360"/>
      </w:pPr>
      <w:rPr/>
    </w:lvl>
    <w:lvl w:ilvl="8">
      <w:start w:val="1"/>
      <w:numFmt w:val="lowerRoman"/>
      <w:lvlText w:val="%9."/>
      <w:lvlJc w:val="right"/>
      <w:pPr>
        <w:ind w:left="633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Bc1zib2vPmh0+iniUyyrEIxBfw==">AMUW2mWjG5KHQpMg0fm1fCT96Q6SRvI3dJ4X7BSGSclskrvGHglX99zipsZeTTrORhbMNO+F61b8BVX7aXPOPUcpaV2hA9KtnWkEjYS7p+LM1JL5nSuF/ys=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