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8" w:lineRule="auto"/>
        <w:ind w:left="3884" w:right="3866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FIŞA DISCIPLINEI1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7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despre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5.0" w:type="dxa"/>
        <w:tblLayout w:type="fixed"/>
        <w:tblLook w:val="0000"/>
      </w:tblPr>
      <w:tblGrid>
        <w:gridCol w:w="3795"/>
        <w:gridCol w:w="6395"/>
        <w:tblGridChange w:id="0">
          <w:tblGrid>
            <w:gridCol w:w="3795"/>
            <w:gridCol w:w="639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Universitatea Creștină Partium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Facultatea de Ştiinţe Economice si Sociale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Departamentul de Economie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Administrarea afacerilor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Licență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Economia comerţului, turismului şi serviciilor</w:t>
            </w:r>
          </w:p>
        </w:tc>
      </w:tr>
    </w:tbl>
    <w:p w:rsidR="00000000" w:rsidDel="00000000" w:rsidP="00000000" w:rsidRDefault="00000000" w:rsidRPr="00000000" w14:paraId="00000012">
      <w:pPr>
        <w:spacing w:after="0" w:before="11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despre disciplină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0.0" w:type="dxa"/>
        <w:jc w:val="left"/>
        <w:tblInd w:w="5.0" w:type="dxa"/>
        <w:tblLayout w:type="fixed"/>
        <w:tblLook w:val="0000"/>
      </w:tblPr>
      <w:tblGrid>
        <w:gridCol w:w="3229"/>
        <w:gridCol w:w="6961"/>
        <w:tblGridChange w:id="0">
          <w:tblGrid>
            <w:gridCol w:w="3229"/>
            <w:gridCol w:w="696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Raporări financiare, ECTS2208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FB2134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 Titularul activităţii de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Colocviu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Optional, DS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before="1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Timpul total estimat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0.0" w:type="dxa"/>
        <w:jc w:val="left"/>
        <w:tblInd w:w="5.0" w:type="dxa"/>
        <w:tblLayout w:type="fixed"/>
        <w:tblLook w:val="0000"/>
      </w:tblPr>
      <w:tblGrid>
        <w:gridCol w:w="3935"/>
        <w:gridCol w:w="708"/>
        <w:gridCol w:w="1844"/>
        <w:gridCol w:w="710"/>
        <w:gridCol w:w="2273"/>
        <w:gridCol w:w="720"/>
        <w:tblGridChange w:id="0">
          <w:tblGrid>
            <w:gridCol w:w="3935"/>
            <w:gridCol w:w="708"/>
            <w:gridCol w:w="1844"/>
            <w:gridCol w:w="710"/>
            <w:gridCol w:w="2273"/>
            <w:gridCol w:w="7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din care3.2curs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3.4 Total ore din planul de învăţământ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din care3.5curs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3.6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Distribuţia fondului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Studiul după manual, suport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Precondiţii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3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0.0" w:type="dxa"/>
        <w:jc w:val="left"/>
        <w:tblInd w:w="5.0" w:type="dxa"/>
        <w:tblLayout w:type="fixed"/>
        <w:tblLook w:val="0000"/>
      </w:tblPr>
      <w:tblGrid>
        <w:gridCol w:w="2093"/>
        <w:gridCol w:w="8097"/>
        <w:tblGridChange w:id="0">
          <w:tblGrid>
            <w:gridCol w:w="2093"/>
            <w:gridCol w:w="8097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-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before="18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B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Ind w:w="5.0" w:type="dxa"/>
        <w:tblLayout w:type="fixed"/>
        <w:tblLook w:val="0000"/>
      </w:tblPr>
      <w:tblGrid>
        <w:gridCol w:w="4928"/>
        <w:gridCol w:w="5262"/>
        <w:tblGridChange w:id="0">
          <w:tblGrid>
            <w:gridCol w:w="4928"/>
            <w:gridCol w:w="526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In săli dotate  cu tehnică IT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 săli dotate  cu tehnică IT</w:t>
            </w:r>
          </w:p>
        </w:tc>
      </w:tr>
    </w:tbl>
    <w:p w:rsidR="00000000" w:rsidDel="00000000" w:rsidP="00000000" w:rsidRDefault="00000000" w:rsidRPr="00000000" w14:paraId="00000081">
      <w:pPr>
        <w:spacing w:after="0" w:before="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44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  <w:sectPr>
          <w:pgSz w:h="15840" w:w="12240" w:orient="portrait"/>
          <w:pgMar w:bottom="280" w:top="1340" w:left="920" w:right="9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1Cf.M.Of.al României, Partea I, Nr.800bis/13.XII.2011,Ordinul ministrului nr.5703 din18 oct.2011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600"/>
                          <a:ext cx="1828800" cy="1270"/>
                          <a:chOff x="4431600" y="3774600"/>
                          <a:chExt cx="1828800" cy="955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Competenţe specifice acumulate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0.0" w:type="dxa"/>
        <w:jc w:val="left"/>
        <w:tblInd w:w="5.0" w:type="dxa"/>
        <w:tblLayout w:type="fixed"/>
        <w:tblLook w:val="0000"/>
      </w:tblPr>
      <w:tblGrid>
        <w:gridCol w:w="1530"/>
        <w:gridCol w:w="8660"/>
        <w:tblGridChange w:id="0">
          <w:tblGrid>
            <w:gridCol w:w="1530"/>
            <w:gridCol w:w="8660"/>
          </w:tblGrid>
        </w:tblGridChange>
      </w:tblGrid>
      <w:tr>
        <w:trPr>
          <w:cantSplit w:val="0"/>
          <w:trHeight w:val="2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C1.2 Explicarea și interpretarea date și informații din punct de vedere cantitativ și calitativ, pentru formularea de argumente și decizii concrete asociate comerțului, turismului și serviciilor.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C1.4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C4.1 Descrierea conceptelor și principiilor evidenței contabile aplicate în finanțarea activităților de comerț, turism și servicii, precum și a metodologiei și indicatorilor de fundamentare a alocării resurselor.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C4.2 Explicarea și interpretarea de situații/procese concrete din domeniul comerțului, turismului și serviciilor pe baza conceptelor și principiilor evidenței contabile, și a utilizării indicatorilor pentru explicarea și interpretarea situațiilor analizate.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C4.3 Elaborarea de calcule pentru diferite situații alternative (variante decizionale) în alocarea resurselor.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C4.4 Fundamentarea necesarului de resurse materiale și financiare în raport cu cerințele volumului și eficienței organizațiilor de comerț, turism și servicii.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C4.5 Participare la fundamentarea de studii de prefezabilitate și fezabilitate a investițiilor pentru afaceri.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transversale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CT.1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91">
            <w:pPr>
              <w:spacing w:after="0" w:before="1" w:line="240" w:lineRule="auto"/>
              <w:ind w:left="102" w:right="1438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Obiectivele disciplinei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(reieşind din grila competenţelor specifice acumulate)</w:t>
      </w:r>
    </w:p>
    <w:p w:rsidR="00000000" w:rsidDel="00000000" w:rsidP="00000000" w:rsidRDefault="00000000" w:rsidRPr="00000000" w14:paraId="00000094">
      <w:pPr>
        <w:spacing w:after="0" w:before="29" w:lineRule="auto"/>
        <w:ind w:left="57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0.0" w:type="dxa"/>
        <w:jc w:val="left"/>
        <w:tblInd w:w="5.0" w:type="dxa"/>
        <w:tblLayout w:type="fixed"/>
        <w:tblLook w:val="0000"/>
      </w:tblPr>
      <w:tblGrid>
        <w:gridCol w:w="2660"/>
        <w:gridCol w:w="7530"/>
        <w:tblGridChange w:id="0">
          <w:tblGrid>
            <w:gridCol w:w="2660"/>
            <w:gridCol w:w="7530"/>
          </w:tblGrid>
        </w:tblGridChange>
      </w:tblGrid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7.1 Obiectivul general al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Disciplina își propune familiarizarea studenților cu problematica teoretică si aplicativă a elaborării si prezentării situaţiilor financiare ale întreprinderilor din România, în strânsă concordanţă cu Standardele Internaţionale în domeniu</w:t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7.2 Obiectivele specifice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ind w:left="105" w:right="171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Studenții vor dobândi abilități de a întocmi situaţiile financiare anuale pentru entităţile din România (entităţi mari, mijlocii, mici, micro, non-profit etc.), inclusiv anexele, rapoartele, declaraţiile, de a efectua activităţile premergătoare întocmirii acestor situaţii, de a înţelege legătura dintre politicile şi procedurile contabile şi situațiile financiare anuale,  de aplicare a prevederilor Standardelor Internaţionale referitoare la întocmirea situaţiilor financiare anuale. </w:t>
            </w:r>
          </w:p>
        </w:tc>
      </w:tr>
    </w:tbl>
    <w:p w:rsidR="00000000" w:rsidDel="00000000" w:rsidP="00000000" w:rsidRDefault="00000000" w:rsidRPr="00000000" w14:paraId="0000009B">
      <w:pPr>
        <w:spacing w:after="0" w:before="3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3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Conţinuturi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29" w:lineRule="auto"/>
        <w:ind w:left="57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0.0" w:type="dxa"/>
        <w:jc w:val="left"/>
        <w:tblInd w:w="5.0" w:type="dxa"/>
        <w:tblLayout w:type="fixed"/>
        <w:tblLook w:val="0000"/>
      </w:tblPr>
      <w:tblGrid>
        <w:gridCol w:w="6480"/>
        <w:gridCol w:w="2340"/>
        <w:gridCol w:w="1370"/>
        <w:tblGridChange w:id="0">
          <w:tblGrid>
            <w:gridCol w:w="6480"/>
            <w:gridCol w:w="2340"/>
            <w:gridCol w:w="137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Situaţii financiare – Concept si istorie. Principii aplicabile situaţiilor financiare.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820"/>
              </w:tabs>
              <w:spacing w:after="0" w:before="1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Caracteristicile si utilitatea informaţiei contabile pentru utilizatorii situaţiilor financiare.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Evaluarea elementelor patrimoniale la data întocmirii situaţiilor financiare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Evaluarea pasivelor. Evaluarea veniturilor si cheltuielilor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Standardul internaţional de contabilitate IAS 1 „Prezentarea situaţiilor financiare”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Lucrări premergătoare întocmirii situaţiilor financiare: Inventarierea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Lucrări premergătoare întocmirii situaţiilor financiare: Evaluare, ajustări, provizioane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Bilanţul contabil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Contul de profit si pierdere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Situaţia modificărilor capitalurilor proprii. Situaţia fluxurilor de trezorerie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spacing w:after="0" w:line="240" w:lineRule="auto"/>
              <w:ind w:left="360" w:right="-2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Notele explicative la situaţiile financiare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Evenimente ulterioare bilanţului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13. Aprobarea, certificarea si auditarea situaţiilor financiare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14. Raţionamentul profesional în practica raportărilor financiare. Recapitulare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D7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before="14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0.0" w:type="dxa"/>
        <w:jc w:val="left"/>
        <w:tblInd w:w="5.0" w:type="dxa"/>
        <w:tblLayout w:type="fixed"/>
        <w:tblLook w:val="0000"/>
      </w:tblPr>
      <w:tblGrid>
        <w:gridCol w:w="6030"/>
        <w:gridCol w:w="2610"/>
        <w:gridCol w:w="1550"/>
        <w:tblGridChange w:id="0">
          <w:tblGrid>
            <w:gridCol w:w="6030"/>
            <w:gridCol w:w="2610"/>
            <w:gridCol w:w="155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spacing w:after="0" w:line="240" w:lineRule="auto"/>
              <w:ind w:left="360" w:right="-2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Discutarea cerințelor și a metodelor de seminar.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leader="none" w:pos="820"/>
              </w:tabs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Studiu comparativ privind teoriile bilanţului (Reglementarea naţională vs Standardele internaţionale de contabilitate)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Analiza principiilor contabile fundamentale ce stau la baza elaborării situaţiilor financiare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IAS 1 Prezentarea situaţiilor financiare: conţinutul si structura situaţiilor financiare, posturile obligatorii,  maginea fidelă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IAS 7 Tabloul fluxurilor de trezorerie: clasificarea fluxurilor de trezorerie, analiza variaţiilor de trezorerie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Studii de caz privind prelucrarea informaţiilor contabile in vederea întocmirii situaţiilor financiare, parcurgerea lucrărilor premergătoare întocmirii situaţiilor financiare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bilanţului contabil, pe baza unei balanţe de verificare dată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contului de profit si pierderi, pe baza unei balanţe de verificare dată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situaţiei datelor informative la bilanţ si a situaţiei activelor imobilizate, a amortizării si ajustărilor pentru deprecierea imobilizărilor, pe</w:t>
            </w:r>
          </w:p>
          <w:p w:rsidR="00000000" w:rsidDel="00000000" w:rsidP="00000000" w:rsidRDefault="00000000" w:rsidRPr="00000000" w14:paraId="000000F7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baza unei balanţe de verificare dată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situaţiei fluxurilor de numerar si situaţiei modificărilor capitalului propriu la data bilanţului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notelor explicative 1 (active imobilizate), 2 (provizioane), 3 (repartizarea profitului), pe baza bilanţului contabil si a balanţei de verificare dată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notelor explicative 4 (analiza rezultatului din exploatare), 5 (creanţe si datorii), 6 (principii si politici contabile), pe baza bilanţului contabil si a balanţei de verificare dată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Aplicație privind întocmirea notelor explicative 7 (participaţii si surse de finanţare),</w:t>
            </w:r>
          </w:p>
          <w:p w:rsidR="00000000" w:rsidDel="00000000" w:rsidP="00000000" w:rsidRDefault="00000000" w:rsidRPr="00000000" w14:paraId="00000104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 (informaţii privind salariaţii si membrii organelor de conducere), 10 (alte informaţii),</w:t>
            </w:r>
          </w:p>
          <w:p w:rsidR="00000000" w:rsidDel="00000000" w:rsidP="00000000" w:rsidRDefault="00000000" w:rsidRPr="00000000" w14:paraId="00000105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 baza bilanţului contabil si a balanţei de verificare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Studii de caz privind evenimentele ulterioare bilanţului si aplicarea raţionamentului profesional în practica raportărilor financiare. Aprobarea, certificarea si auditarea</w:t>
            </w:r>
          </w:p>
          <w:p w:rsidR="00000000" w:rsidDel="00000000" w:rsidP="00000000" w:rsidRDefault="00000000" w:rsidRPr="00000000" w14:paraId="00000109">
            <w:pPr>
              <w:widowControl w:val="1"/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situaţiilor financiare.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65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Bibliografie</w:t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Corina Graziella, Bâtcă Dumitru,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Contabilitate și raportare financiară,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Editura CECCAR, București, 2021</w:t>
            </w:r>
          </w:p>
          <w:p w:rsidR="00000000" w:rsidDel="00000000" w:rsidP="00000000" w:rsidRDefault="00000000" w:rsidRPr="00000000" w14:paraId="0000010F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Adrian Bența,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Tratat de contabilitate practică. Contabilitate aplicată.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Editura C. H. Beck, București, 2017</w:t>
            </w:r>
          </w:p>
          <w:p w:rsidR="00000000" w:rsidDel="00000000" w:rsidP="00000000" w:rsidRDefault="00000000" w:rsidRPr="00000000" w14:paraId="00000110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Istrate Costel,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Contabilitatea și raportări financiare individuale și consolidate,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Editura Polirom, Iași, 2016</w:t>
            </w:r>
          </w:p>
          <w:p w:rsidR="00000000" w:rsidDel="00000000" w:rsidP="00000000" w:rsidRDefault="00000000" w:rsidRPr="00000000" w14:paraId="00000111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Pântea I.P.,Bodea Gh.,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Contabilitate financiară,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Editura Intelcredo Deva, 2010.</w:t>
            </w:r>
          </w:p>
          <w:p w:rsidR="00000000" w:rsidDel="00000000" w:rsidP="00000000" w:rsidRDefault="00000000" w:rsidRPr="00000000" w14:paraId="00000112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Ristea M., Lungu C. I., Jianu I.,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Ghid pentru înţelegerea şi aplicarea Standardelor Internaţionale de contabilitate : Prezentarea situaţiilor financiare : IAS 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Editura CECCAR, București, 2004.</w:t>
            </w:r>
          </w:p>
          <w:p w:rsidR="00000000" w:rsidDel="00000000" w:rsidP="00000000" w:rsidRDefault="00000000" w:rsidRPr="00000000" w14:paraId="00000113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Pântea I.P., Deaconu A.,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Ghid pentru înţelegerea şi aplicarea Standardelor Internaţionale de Contabilitate : Situaţiile fluxurilor de numerar : IAS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, Editura CECCAR, București,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Lungu C. I., Jianu I., Ioănaş C.,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 Ghid pentru înţelegerea şi aplicarea Standardelor Internaţionale de Contabilitate : Evenimente ulterioare datei bilanţului : IAS 10,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Editura CECCAR, București,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Legea contabilității nr 82 / 1991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republicată</w:t>
            </w:r>
          </w:p>
          <w:p w:rsidR="00000000" w:rsidDel="00000000" w:rsidP="00000000" w:rsidRDefault="00000000" w:rsidRPr="00000000" w14:paraId="0000011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Standardele internaționale de raportare financiară (IFRS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), Editura CECCAR, București,</w:t>
            </w:r>
          </w:p>
          <w:p w:rsidR="00000000" w:rsidDel="00000000" w:rsidP="00000000" w:rsidRDefault="00000000" w:rsidRPr="00000000" w14:paraId="00000117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2007.</w:t>
            </w:r>
          </w:p>
          <w:p w:rsidR="00000000" w:rsidDel="00000000" w:rsidP="00000000" w:rsidRDefault="00000000" w:rsidRPr="00000000" w14:paraId="0000011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 Ordinul ministrului finanțelor publice (OMFP) nr. 1.802/2014 pentru aprobarea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Reglementărilor contabile privind situațiile financiare anuale individuale și situațiile financiare anuale consolidate,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publicat în Monitorul Oficial nr. 963/30.12.2014, cu modificările și completările ulterioare.</w:t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****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Reglementările contabile conforme cu Standardele Internaționale de Raportare Financiară, aprobate prin OMFP nr. 2.844/2016</w:t>
            </w:r>
          </w:p>
          <w:p w:rsidR="00000000" w:rsidDel="00000000" w:rsidP="00000000" w:rsidRDefault="00000000" w:rsidRPr="00000000" w14:paraId="0000011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*** IAS 1 Prezentarea situaţiilor financiare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*** IAS 7 Tabloul fluxurilor de trezorerie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Coroborarea conţinuturilor disciplinei cu aşteptările reprezentanţilor comunităţii epistemice, asociaţilor profesionale şi angajatori reprezentativi din domeniul aferent programului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before="29" w:lineRule="auto"/>
        <w:ind w:left="573" w:right="-2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1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after="0" w:before="69" w:line="241" w:lineRule="auto"/>
              <w:ind w:right="326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Corespunde cerințelor practicii întocmirii situaţiilor financiare anuale</w:t>
            </w:r>
          </w:p>
        </w:tc>
      </w:tr>
    </w:tbl>
    <w:p w:rsidR="00000000" w:rsidDel="00000000" w:rsidP="00000000" w:rsidRDefault="00000000" w:rsidRPr="00000000" w14:paraId="0000012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Evaluare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90.0" w:type="dxa"/>
        <w:jc w:val="left"/>
        <w:tblInd w:w="5.0" w:type="dxa"/>
        <w:tblLayout w:type="fixed"/>
        <w:tblLook w:val="0000"/>
      </w:tblPr>
      <w:tblGrid>
        <w:gridCol w:w="2518"/>
        <w:gridCol w:w="2410"/>
        <w:gridCol w:w="2715"/>
        <w:gridCol w:w="2547"/>
        <w:tblGridChange w:id="0">
          <w:tblGrid>
            <w:gridCol w:w="2518"/>
            <w:gridCol w:w="2410"/>
            <w:gridCol w:w="2715"/>
            <w:gridCol w:w="2547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10.1 Criterii de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10.3 Pondere din nota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finală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after="0" w:before="9" w:line="240" w:lineRule="auto"/>
              <w:ind w:left="105" w:right="85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Cunoașterea principiilor, a prevederilor legislative privind întocmirea situaţiilor financiare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Examen scris, test grila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spacing w:after="0" w:line="239" w:lineRule="auto"/>
              <w:ind w:left="105" w:right="85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Rezolvarea studiilor de caz de la seminar Întocmirea situaţiilor financiare - proiect propriu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Lucrări pe parcursul semestrului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Prezentarea proiectului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30%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40%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10.6 Standard minim de performanţă  Cunoaşterea întocmirii situaţiilor financiare, obţinerea notei 5 (procent 50%) la toate probele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24.0" w:type="dxa"/>
        <w:jc w:val="left"/>
        <w:tblLayout w:type="fixed"/>
        <w:tblLook w:val="0000"/>
      </w:tblPr>
      <w:tblGrid>
        <w:gridCol w:w="1883"/>
        <w:gridCol w:w="4217"/>
        <w:gridCol w:w="4124"/>
        <w:tblGridChange w:id="0">
          <w:tblGrid>
            <w:gridCol w:w="1883"/>
            <w:gridCol w:w="4217"/>
            <w:gridCol w:w="4124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Data completării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667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413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15. 09.2023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609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</w:tr>
    </w:tbl>
    <w:p w:rsidR="00000000" w:rsidDel="00000000" w:rsidP="00000000" w:rsidRDefault="00000000" w:rsidRPr="00000000" w14:paraId="00000149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leader="none" w:pos="6380"/>
        </w:tabs>
        <w:spacing w:after="0" w:before="29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Data avizării în departament</w:t>
        <w:tab/>
        <w:t xml:space="preserve">Semnătura directorului de departament</w:t>
      </w:r>
    </w:p>
    <w:p w:rsidR="00000000" w:rsidDel="00000000" w:rsidP="00000000" w:rsidRDefault="00000000" w:rsidRPr="00000000" w14:paraId="0000014B">
      <w:pPr>
        <w:spacing w:after="0" w:before="1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leader="none" w:pos="6860"/>
        </w:tabs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25. 09.2023</w:t>
        <w:tab/>
        <w:t xml:space="preserve">Lect. Univ. Dr. Veres Edit</w:t>
        <w:tab/>
      </w:r>
    </w:p>
    <w:p w:rsidR="00000000" w:rsidDel="00000000" w:rsidP="00000000" w:rsidRDefault="00000000" w:rsidRPr="00000000" w14:paraId="0000014D">
      <w:pPr>
        <w:tabs>
          <w:tab w:val="left" w:leader="none" w:pos="6860"/>
        </w:tabs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leader="none" w:pos="6860"/>
        </w:tabs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sectPr>
      <w:type w:val="nextPage"/>
      <w:pgSz w:h="15840" w:w="12240" w:orient="portrait"/>
      <w:pgMar w:bottom="280" w:top="1060" w:left="920" w:right="9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73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93" w:hanging="359.999999999999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aacPHcs4wrP2ugSGNofjqPYyhA==">AMUW2mXInnwperG09m8Mzpv7p5u30ygvBzDAivqq7P/QAAYbLoZIbK/HpMzl6znIOAy+gaHaUs9xKo4QJkwnACVBftDMuvHpZvW8SpAlusw21Qr1cXc0UZgN9zbF8oi1fn+Nn+5oF0vE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