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7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fișa disciplinei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program</w:t>
      </w:r>
    </w:p>
    <w:tbl>
      <w:tblPr>
        <w:tblStyle w:val="Table1"/>
        <w:tblW w:w="9638.0" w:type="dxa"/>
        <w:jc w:val="left"/>
        <w:tblLayout w:type="fixed"/>
        <w:tblLook w:val="0400"/>
      </w:tblPr>
      <w:tblGrid>
        <w:gridCol w:w="3812"/>
        <w:gridCol w:w="5826"/>
        <w:tblGridChange w:id="0">
          <w:tblGrid>
            <w:gridCol w:w="3812"/>
            <w:gridCol w:w="582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Instituția de învățământ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Universitatea Creștină Partium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 de Științe Economice și Sociale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Domeniul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Administrarea Afacerilor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Ciclul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Licenţă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Programul de studii/Calificarea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disciplină</w:t>
      </w:r>
    </w:p>
    <w:tbl>
      <w:tblPr>
        <w:tblStyle w:val="Table2"/>
        <w:tblW w:w="9638.0" w:type="dxa"/>
        <w:jc w:val="left"/>
        <w:tblLayout w:type="fixed"/>
        <w:tblLook w:val="0400"/>
      </w:tblPr>
      <w:tblGrid>
        <w:gridCol w:w="3803"/>
        <w:gridCol w:w="5835"/>
        <w:tblGridChange w:id="0">
          <w:tblGrid>
            <w:gridCol w:w="3803"/>
            <w:gridCol w:w="58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Economia turismului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(ECTS 2104)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Conf. Univ. Dr. Molnar Elisabeta Ilona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seminar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Asist. Univ. Drd. Gulyas Greta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Anul de studiu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Tipul de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Regimul disciplinei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DS</w:t>
            </w:r>
          </w:p>
        </w:tc>
      </w:tr>
    </w:tbl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Timpul total estimat</w:t>
      </w:r>
    </w:p>
    <w:tbl>
      <w:tblPr>
        <w:tblStyle w:val="Table3"/>
        <w:tblW w:w="9638.0" w:type="dxa"/>
        <w:jc w:val="left"/>
        <w:tblLayout w:type="fixed"/>
        <w:tblLook w:val="0400"/>
      </w:tblPr>
      <w:tblGrid>
        <w:gridCol w:w="3799"/>
        <w:gridCol w:w="954"/>
        <w:gridCol w:w="1475"/>
        <w:gridCol w:w="568"/>
        <w:gridCol w:w="2156"/>
        <w:gridCol w:w="686"/>
        <w:tblGridChange w:id="0">
          <w:tblGrid>
            <w:gridCol w:w="3799"/>
            <w:gridCol w:w="954"/>
            <w:gridCol w:w="1475"/>
            <w:gridCol w:w="568"/>
            <w:gridCol w:w="2156"/>
            <w:gridCol w:w="68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Număr de ore pe săptămână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ore din planul de învățământ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Distribuția fondului de timp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Studiul după manual, suport de curs, bibliografie și notițe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Documentare suplimentară în bibliotecă, pe platforme electronice de specialitate și pe teren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Pregătire seminarii/laboratoare, teme, referate, portofolii și eseuri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Examinări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 activități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studiu individual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pe semestru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Numărul de credite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Precondiții (unde este cazul)</w:t>
      </w:r>
    </w:p>
    <w:tbl>
      <w:tblPr>
        <w:tblStyle w:val="Table4"/>
        <w:tblW w:w="9641.0" w:type="dxa"/>
        <w:jc w:val="left"/>
        <w:tblInd w:w="5.0" w:type="dxa"/>
        <w:tblLayout w:type="fixed"/>
        <w:tblLook w:val="0400"/>
      </w:tblPr>
      <w:tblGrid>
        <w:gridCol w:w="2150"/>
        <w:gridCol w:w="7491"/>
        <w:tblGridChange w:id="0">
          <w:tblGrid>
            <w:gridCol w:w="2150"/>
            <w:gridCol w:w="7491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competențe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C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Condiții (acolo unde este cazul)</w:t>
      </w:r>
    </w:p>
    <w:tbl>
      <w:tblPr>
        <w:tblStyle w:val="Table5"/>
        <w:tblW w:w="9641.0" w:type="dxa"/>
        <w:jc w:val="left"/>
        <w:tblInd w:w="5.0" w:type="dxa"/>
        <w:tblLayout w:type="fixed"/>
        <w:tblLook w:val="0400"/>
      </w:tblPr>
      <w:tblGrid>
        <w:gridCol w:w="4592"/>
        <w:gridCol w:w="5049"/>
        <w:tblGridChange w:id="0">
          <w:tblGrid>
            <w:gridCol w:w="4592"/>
            <w:gridCol w:w="5049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Sală de curs, calculator, videoproiector, tablă, Internet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seminarului/laboratorului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Sală de curs, calculator, videoproiector, tablă, internet,teren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Competențe specifice acumulate</w:t>
      </w:r>
    </w:p>
    <w:tbl>
      <w:tblPr>
        <w:tblStyle w:val="Table6"/>
        <w:tblW w:w="9638.0" w:type="dxa"/>
        <w:jc w:val="left"/>
        <w:tblLayout w:type="fixed"/>
        <w:tblLook w:val="0400"/>
      </w:tblPr>
      <w:tblGrid>
        <w:gridCol w:w="1703"/>
        <w:gridCol w:w="7935"/>
        <w:tblGridChange w:id="0">
          <w:tblGrid>
            <w:gridCol w:w="1703"/>
            <w:gridCol w:w="79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profesionale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CP.1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 Definirea adecvată a conceptelor și principiilor specifice teoriei economice, precum și a celor din domeniul comerțului, turismului și serviciilor.</w:t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C1.3 Rezolvarea problemelor în contexte bine definite asociate: conceperii, planificării și executării de activități în cadrul firmelor de comerț, turism și servicii.</w:t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C1.4 Culegerea și prelucrarea de date din surse documentare alternative și din activitatea curentă, pentru evaluarea factorilor care influențează realizarea prestațiilor în organizațiile din comerț, turism și servicii.</w:t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C1.5 Realizarea de proiecte profesionale prin utilizarea conceptelor, principiilor și metodelor specifice domeniului comerț, turism, servicii.</w:t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C3.5 Consiliere și asistență prin elaborare de proiecte profesionale care răspund problemelor concrete ale clienților.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transversale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ind w:right="11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CT.1</w:t>
            </w:r>
            <w:r w:rsidDel="00000000" w:rsidR="00000000" w:rsidRPr="00000000">
              <w:rPr>
                <w:rtl w:val="0"/>
              </w:rPr>
              <w:t xml:space="preserve"> Aplicarea principiilor, normelor şi valorilor  de etică profesională în cadrul propriei strategii de muncă riguroasă, eficientă şi responsabilă.</w:t>
            </w:r>
          </w:p>
          <w:p w:rsidR="00000000" w:rsidDel="00000000" w:rsidP="00000000" w:rsidRDefault="00000000" w:rsidRPr="00000000" w14:paraId="0000007A">
            <w:pPr>
              <w:ind w:right="11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CT.2</w:t>
            </w:r>
            <w:r w:rsidDel="00000000" w:rsidR="00000000" w:rsidRPr="00000000">
              <w:rPr>
                <w:rtl w:val="0"/>
              </w:rPr>
              <w:t xml:space="preserve"> Identificarea rolurilor şi responsabilităţilor într-o echipă plurispecializată şi aplicarea de tehnici de relaţionare şi muncă eficientă în cadrul echipei.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CT.3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Identificarea oportunităţilor de formare continuă şi valorificarea eficientă a resurselor şi tehnicilor de învăţare pentru propria dezvoltare</w:t>
            </w:r>
          </w:p>
        </w:tc>
      </w:tr>
    </w:tbl>
    <w:p w:rsidR="00000000" w:rsidDel="00000000" w:rsidP="00000000" w:rsidRDefault="00000000" w:rsidRPr="00000000" w14:paraId="0000007C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Obiectivele disciplinei (reieșind din grila competențelor specifice acumulate)</w:t>
      </w:r>
    </w:p>
    <w:tbl>
      <w:tblPr>
        <w:tblStyle w:val="Table7"/>
        <w:tblW w:w="9641.0" w:type="dxa"/>
        <w:jc w:val="left"/>
        <w:tblInd w:w="5.0" w:type="dxa"/>
        <w:tblLayout w:type="fixed"/>
        <w:tblLook w:val="0400"/>
      </w:tblPr>
      <w:tblGrid>
        <w:gridCol w:w="1703"/>
        <w:gridCol w:w="7938"/>
        <w:tblGridChange w:id="0">
          <w:tblGrid>
            <w:gridCol w:w="1703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Obiectivul general al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Cunoaşterea şi înţelegrea  principalelor mecanisme ce stau la baza economiei turismului, importanţa rolului turismului şi ponderea acestui sector în  economie.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Cunoaşterea, înţelegerea şi operarea cu diferite concepte referitoare la  organizarea serviciilor specifice, relaţia dintre furnizori şi beneficiarii acestora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Obiectivele specifice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Definirea noţiunilor ce stau la baza formării industriei ospitaliere; concepte şi clasificări în servciile turistice de bază şi complementare; recunoaşterea rolului turismului în economia naţională şi mondială.</w:t>
            </w:r>
          </w:p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Înţelegerea şi operarea cu diferite noţiuni şi concepte aferente serviciilor turistice; cunoaşterea instrumentelor şi metodelor lor specifice; </w:t>
            </w:r>
          </w:p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Derularea activităţilor turistice conform standardelor calităţii impuse, în funcţie de piaţa existentă, de cerere şi ofertă, adaptată  cerinţelor reale ale turiştilor; </w:t>
            </w:r>
          </w:p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Utilizarea diverselor instrumente ale managementului activităţii de turism  pentru soluţionarea problemelor şi îmbunătăţire continuă;</w:t>
            </w:r>
          </w:p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Dobândirea de către studenţi a unei experienţe practice în domeniu prin realizarea unor proiecte individuale şi  în echipă şi participarea la rezolvarea de studii de caz.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Pregătirea teoretică şi practică a studenţilor, în concordanţa cu cerinţele standardelor europene, pentru a fi competitivi pe piaţa muncii în sectorul turistic din România şi din străinătate</w:t>
            </w:r>
          </w:p>
        </w:tc>
      </w:tr>
    </w:tbl>
    <w:p w:rsidR="00000000" w:rsidDel="00000000" w:rsidP="00000000" w:rsidRDefault="00000000" w:rsidRPr="00000000" w14:paraId="00000088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Conținuturi</w:t>
      </w:r>
    </w:p>
    <w:tbl>
      <w:tblPr>
        <w:tblStyle w:val="Table8"/>
        <w:tblW w:w="9641.0" w:type="dxa"/>
        <w:jc w:val="left"/>
        <w:tblInd w:w="5.0" w:type="dxa"/>
        <w:tblLayout w:type="fixed"/>
        <w:tblLook w:val="0400"/>
      </w:tblPr>
      <w:tblGrid>
        <w:gridCol w:w="5392"/>
        <w:gridCol w:w="2933"/>
        <w:gridCol w:w="1316"/>
        <w:tblGridChange w:id="0">
          <w:tblGrid>
            <w:gridCol w:w="5392"/>
            <w:gridCol w:w="2933"/>
            <w:gridCol w:w="1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Introducere în economia turismului. Rolul şi locul turismului în economie.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Coordonate istorice şi conceptuale în turism.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Organizarea turismului, organizații naţionale şi internaționale, asociaţii profesionale în turism. Legislație.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Turism international.Codul de etică în turismul international.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Formele de turism - caracteristici. Factorii determinanţi ai dezvoltării turismului.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Infrastructura în turism. Servciile turistice - particularităţi şi caracteristici. Serviciile hoteliere, de alimentaţie şi de agrement.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Transporturile turistice. Forme de transporturi turistice, rolul şi importanţa lor în economie.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Transporturi aeriene. Alianțe și asociații în transportul aerian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Turism și cultură.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Produsul turistic. Definiţii, formarea și  tipurile de produs turistic.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Produsul turistic. Definiţii, formarea și  tipurile de produs turistic.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Turismul, mobilizator al forţei de muncă. Profesii și cariera în turism.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Turismul şi impactul asupra mediului înconjurător. Conceptul de dezvoltare durabilă.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Economie circulara -Turismul – impactul economic la nivel national şi internaţional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Introducere în cerinţele seminarului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Rolul şi locul turismului în economie. Studii de caz.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Organizații naţionale şi internaționale. Legislație în turism.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Turism international.Trenduri în turism, destinații de top în turismul international.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Formele de turism.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Infrastructura de transport, de cazare, de alimentaţie, de agrement, etc. Baza materială turistică din România.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caz, teren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Servicii turistice de bază şi complementare.Servicii turistice specifice fiecărei activităţi turistice.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Transporturi turistice. Studii de caz..Organizatii nationale și  internaţionale  în transporturi.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Aliante în transporturi  aeriene.Studii de caz.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Tipuri de produse turistice. Termeni utilizaţi în turism. Studii de caz.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Piaţa turistică din  România. Cererea şi oferta turistică.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Forţa de muncă în turism – profesii și caracteristici.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 proiecte în echipă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 proiecte în echipă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Bibliografie obligatorie</w:t>
            </w:r>
          </w:p>
          <w:p w:rsidR="00000000" w:rsidDel="00000000" w:rsidP="00000000" w:rsidRDefault="00000000" w:rsidRPr="00000000" w14:paraId="000000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Tema 1-14  Materialul prezentat la curs si seminar</w:t>
            </w:r>
          </w:p>
          <w:p w:rsidR="00000000" w:rsidDel="00000000" w:rsidP="00000000" w:rsidRDefault="00000000" w:rsidRPr="00000000" w14:paraId="000000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Stănciulescu Gabriela, Moraru Remus, Szabo Orsolya, Glosari de termeni in turism,  </w:t>
            </w:r>
          </w:p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Universitatea Oradea,  2010</w:t>
            </w:r>
          </w:p>
          <w:p w:rsidR="00000000" w:rsidDel="00000000" w:rsidP="00000000" w:rsidRDefault="00000000" w:rsidRPr="00000000" w14:paraId="000000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***Circular Economy, Leading Circularity in Travel &amp; Tourism, WTTC &amp; Harward learning</w:t>
            </w:r>
          </w:p>
          <w:p w:rsidR="00000000" w:rsidDel="00000000" w:rsidP="00000000" w:rsidRDefault="00000000" w:rsidRPr="00000000" w14:paraId="000000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Insight</w:t>
            </w:r>
          </w:p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Molnar Elisabeta Ilona, Operaţionalizarea transporturilor turistice aeriene, Editura Uranus, </w:t>
            </w:r>
          </w:p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Bucureşti, 2014</w:t>
            </w:r>
          </w:p>
          <w:p w:rsidR="00000000" w:rsidDel="00000000" w:rsidP="00000000" w:rsidRDefault="00000000" w:rsidRPr="00000000" w14:paraId="000000EE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Bibliografie facultativă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Tourism Organization (2023), Tourism and Rural Development: A Policy Perspective, UNWTO, Madrid, DOI: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https://doi.org/10.18111/9789284424306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Tourism Organization (2023), International Tourism Highlights, 2023 Edition – The impact of COVID-19 on tourism (2020–2022), UNWTO, Madrid, DOI: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https://doi.org/10.18111/9789284424504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 Travel Information Manual –IATA, 2022.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HOTĂRÂRE nr. 558 din 4 august 2017 privind aprobarea Programului pentru dezvoltarea investițiilor în turism - Masterplanul investițiilor în turism - și a criteriilor de eligibilitate a proiectelor de investiții în turism EMITENT GUVERNUL ROMÂNIEI Publicat în  MONITORUL OFICIAL nr. 653 din 8 august 2017</w:t>
            </w:r>
          </w:p>
        </w:tc>
      </w:tr>
    </w:tbl>
    <w:p w:rsidR="00000000" w:rsidDel="00000000" w:rsidP="00000000" w:rsidRDefault="00000000" w:rsidRPr="00000000" w14:paraId="000000F5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Coroborarea conținuturilor disciplinei cu așteptările reprezentanților comunității epistemice, asociațiilor profesionale și angajatorilor reprezentativi din domeniul aferent programului</w:t>
      </w:r>
    </w:p>
    <w:tbl>
      <w:tblPr>
        <w:tblStyle w:val="Table9"/>
        <w:tblW w:w="9638.0" w:type="dxa"/>
        <w:jc w:val="left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:rsidR="00000000" w:rsidDel="00000000" w:rsidP="00000000" w:rsidRDefault="00000000" w:rsidRPr="00000000" w14:paraId="000000F7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Evaluare</w:t>
      </w:r>
    </w:p>
    <w:tbl>
      <w:tblPr>
        <w:tblStyle w:val="Table10"/>
        <w:tblW w:w="9638.0" w:type="dxa"/>
        <w:jc w:val="left"/>
        <w:tblLayout w:type="fixed"/>
        <w:tblLook w:val="0400"/>
      </w:tblPr>
      <w:tblGrid>
        <w:gridCol w:w="1586"/>
        <w:gridCol w:w="963"/>
        <w:gridCol w:w="1869"/>
        <w:gridCol w:w="517"/>
        <w:gridCol w:w="963"/>
        <w:gridCol w:w="2090"/>
        <w:gridCol w:w="1650"/>
        <w:tblGridChange w:id="0">
          <w:tblGrid>
            <w:gridCol w:w="1586"/>
            <w:gridCol w:w="963"/>
            <w:gridCol w:w="1869"/>
            <w:gridCol w:w="517"/>
            <w:gridCol w:w="963"/>
            <w:gridCol w:w="2090"/>
            <w:gridCol w:w="1650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 activitate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Criterii de evaluare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Pondere din nota finală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Curs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Evaluare sumativă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Examen scris si oral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60 %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Seminar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Evaluare progresivă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ind w:right="-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Proiecte individuale şi de grup, </w:t>
            </w:r>
          </w:p>
          <w:p w:rsidR="00000000" w:rsidDel="00000000" w:rsidP="00000000" w:rsidRDefault="00000000" w:rsidRPr="00000000" w14:paraId="0000010B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recenzie articol de specialitate, participare activă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Standard minim de performanță: Obţinerea a minim 50% din punctajul total acordat, (60 % la proba de verificare scrisă si orala și 40% pentru activitatea de seminar).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completării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curs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 septembrie 2023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avizării în departament: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directorului de departament: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1.%2."/>
      <w:lvlJc w:val="left"/>
      <w:pPr>
        <w:ind w:left="0" w:firstLine="0"/>
      </w:pPr>
      <w:rPr/>
    </w:lvl>
    <w:lvl w:ilvl="2">
      <w:start w:val="1"/>
      <w:numFmt w:val="decimal"/>
      <w:lvlText w:val=" %1.%2.%3 "/>
      <w:lvlJc w:val="left"/>
      <w:pPr>
        <w:ind w:left="1440" w:hanging="360"/>
      </w:pPr>
      <w:rPr/>
    </w:lvl>
    <w:lvl w:ilvl="3">
      <w:start w:val="1"/>
      <w:numFmt w:val="decimal"/>
      <w:lvlText w:val=" %1.%2.%3.%4 "/>
      <w:lvlJc w:val="left"/>
      <w:pPr>
        <w:ind w:left="1800" w:hanging="360"/>
      </w:pPr>
      <w:rPr/>
    </w:lvl>
    <w:lvl w:ilvl="4">
      <w:start w:val="1"/>
      <w:numFmt w:val="decimal"/>
      <w:lvlText w:val=" %1.%2.%3.%4.%5 "/>
      <w:lvlJc w:val="left"/>
      <w:pPr>
        <w:ind w:left="2160" w:hanging="360"/>
      </w:pPr>
      <w:rPr/>
    </w:lvl>
    <w:lvl w:ilvl="5">
      <w:start w:val="1"/>
      <w:numFmt w:val="decimal"/>
      <w:lvlText w:val=" %1.%2.%3.%4.%5.%6 "/>
      <w:lvlJc w:val="left"/>
      <w:pPr>
        <w:ind w:left="2520" w:hanging="360"/>
      </w:pPr>
      <w:rPr/>
    </w:lvl>
    <w:lvl w:ilvl="6">
      <w:start w:val="1"/>
      <w:numFmt w:val="decimal"/>
      <w:lvlText w:val=" %1.%2.%3.%4.%5.%6.%7 "/>
      <w:lvlJc w:val="left"/>
      <w:pPr>
        <w:ind w:left="2880" w:hanging="360"/>
      </w:pPr>
      <w:rPr/>
    </w:lvl>
    <w:lvl w:ilvl="7">
      <w:start w:val="1"/>
      <w:numFmt w:val="decimal"/>
      <w:lvlText w:val=" %1.%2.%3.%4.%5.%6.%7.%8 "/>
      <w:lvlJc w:val="left"/>
      <w:pPr>
        <w:ind w:left="3240" w:hanging="360"/>
      </w:pPr>
      <w:rPr/>
    </w:lvl>
    <w:lvl w:ilvl="8">
      <w:start w:val="1"/>
      <w:numFmt w:val="decimal"/>
      <w:lvlText w:val=" %1.%2.%3.%4.%5.%6.%7.%8.%9 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1.0" w:type="dxa"/>
        <w:left w:w="11.0" w:type="dxa"/>
        <w:bottom w:w="11.0" w:type="dxa"/>
        <w:right w:w="11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18111/9789284424306" TargetMode="External"/><Relationship Id="rId8" Type="http://schemas.openxmlformats.org/officeDocument/2006/relationships/hyperlink" Target="https://doi.org/10.18111/978928442450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sOJJ9FHu4QLMei/8QCwDWjiSmQ==">AMUW2mUGVc4WVZlNCv1uFGG6P/SXubmpl2VXxgkhgLNO90tHCd2JhLTONA3OXaeprFWkUx7PeU+Vp74dc57Y3gYARvbjw/OV+OrRGomNE99FRkNl1NoFl94=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